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>Филиал ФГБОУ ВО «Кузбасский государственный технический</w:t>
      </w:r>
    </w:p>
    <w:p>
      <w:pPr>
        <w:widowControl/>
        <w:jc w:val="center"/>
        <w:rPr>
          <w:rFonts w:eastAsia="SimSun"/>
          <w:color w:val="000000"/>
          <w:sz w:val="24"/>
          <w:szCs w:val="24"/>
          <w:lang w:eastAsia="zh-CN" w:bidi="ar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>университет им. Т.Ф. Горбачева»</w:t>
      </w:r>
    </w:p>
    <w:p>
      <w:pPr>
        <w:widowControl/>
        <w:jc w:val="center"/>
        <w:rPr>
          <w:rFonts w:eastAsia="SimSun"/>
          <w:color w:val="000000"/>
          <w:sz w:val="24"/>
          <w:szCs w:val="24"/>
          <w:lang w:eastAsia="zh-CN" w:bidi="ar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>в г. Новокузнецке</w:t>
      </w:r>
    </w:p>
    <w:p>
      <w:pPr>
        <w:ind w:right="430"/>
        <w:jc w:val="both"/>
        <w:rPr>
          <w:b/>
          <w:bCs/>
          <w:sz w:val="24"/>
          <w:szCs w:val="24"/>
        </w:rPr>
      </w:pPr>
    </w:p>
    <w:p>
      <w:pPr>
        <w:ind w:right="4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Анализ результатов анкетирования </w:t>
      </w:r>
    </w:p>
    <w:p>
      <w:pPr>
        <w:ind w:right="4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«Удовлетворённость обучающихся условиями, содержанием, организацией и качеством образовательного процесса» </w:t>
      </w:r>
    </w:p>
    <w:p>
      <w:pPr>
        <w:ind w:right="4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2022-2023 учебный год</w:t>
      </w:r>
    </w:p>
    <w:p>
      <w:pPr>
        <w:ind w:right="430"/>
        <w:jc w:val="center"/>
        <w:rPr>
          <w:b/>
          <w:bCs/>
          <w:sz w:val="24"/>
          <w:szCs w:val="24"/>
        </w:rPr>
      </w:pPr>
    </w:p>
    <w:p>
      <w:pPr>
        <w:ind w:right="429"/>
        <w:jc w:val="center"/>
        <w:rPr>
          <w:sz w:val="24"/>
          <w:szCs w:val="24"/>
        </w:rPr>
      </w:pPr>
    </w:p>
    <w:p>
      <w:pPr>
        <w:ind w:right="-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Hlk146186538"/>
      <w:r>
        <w:rPr>
          <w:sz w:val="24"/>
          <w:szCs w:val="24"/>
        </w:rPr>
        <w:t xml:space="preserve">10.02.05 </w:t>
      </w:r>
      <w:bookmarkEnd w:id="0"/>
      <w:r>
        <w:rPr>
          <w:sz w:val="24"/>
          <w:szCs w:val="24"/>
        </w:rPr>
        <w:t>Обеспечение информационной безопасности автоматизированных систем.</w:t>
      </w:r>
    </w:p>
    <w:p>
      <w:pPr>
        <w:pStyle w:val="2"/>
        <w:tabs>
          <w:tab w:val="left" w:pos="1142"/>
        </w:tabs>
        <w:spacing w:before="5"/>
        <w:ind w:left="930" w:right="590"/>
        <w:jc w:val="both"/>
      </w:pPr>
    </w:p>
    <w:p>
      <w:pPr>
        <w:pStyle w:val="2"/>
        <w:tabs>
          <w:tab w:val="left" w:pos="1142"/>
        </w:tabs>
        <w:spacing w:before="0"/>
        <w:ind w:left="0" w:right="590"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pacing w:val="-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заполнении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анкеты</w:t>
      </w:r>
      <w:r>
        <w:rPr>
          <w:b w:val="0"/>
          <w:bCs w:val="0"/>
          <w:spacing w:val="-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приняли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участие</w:t>
      </w:r>
      <w:r>
        <w:rPr>
          <w:b w:val="0"/>
          <w:bCs w:val="0"/>
          <w:spacing w:val="-5"/>
          <w:sz w:val="24"/>
          <w:szCs w:val="24"/>
        </w:rPr>
        <w:t xml:space="preserve"> </w:t>
      </w:r>
      <w:r>
        <w:rPr>
          <w:rFonts w:hint="default"/>
          <w:b w:val="0"/>
          <w:bCs w:val="0"/>
          <w:spacing w:val="-5"/>
          <w:sz w:val="24"/>
          <w:szCs w:val="24"/>
          <w:lang w:val="ru-RU"/>
        </w:rPr>
        <w:t>93</w:t>
      </w:r>
      <w:r>
        <w:rPr>
          <w:b w:val="0"/>
          <w:bCs w:val="0"/>
          <w:sz w:val="24"/>
          <w:szCs w:val="24"/>
        </w:rPr>
        <w:t>% от контингента, обучающихся по данной образовательной программе.</w:t>
      </w:r>
    </w:p>
    <w:p>
      <w:pPr>
        <w:pStyle w:val="7"/>
        <w:rPr>
          <w:sz w:val="24"/>
          <w:szCs w:val="24"/>
        </w:rPr>
      </w:pPr>
    </w:p>
    <w:tbl>
      <w:tblPr>
        <w:tblStyle w:val="10"/>
        <w:tblW w:w="9090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9"/>
        <w:gridCol w:w="2693"/>
        <w:gridCol w:w="46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729" w:type="dxa"/>
          </w:tcPr>
          <w:p>
            <w:pPr>
              <w:pStyle w:val="12"/>
              <w:spacing w:line="240" w:lineRule="auto"/>
              <w:ind w:left="22" w:right="273"/>
              <w:jc w:val="center"/>
            </w:pPr>
            <w:r>
              <w:t>Год набора</w:t>
            </w:r>
          </w:p>
        </w:tc>
        <w:tc>
          <w:tcPr>
            <w:tcW w:w="2693" w:type="dxa"/>
          </w:tcPr>
          <w:p>
            <w:pPr>
              <w:pStyle w:val="12"/>
              <w:spacing w:line="240" w:lineRule="auto"/>
              <w:ind w:left="339" w:right="336"/>
              <w:jc w:val="center"/>
            </w:pPr>
            <w:r>
              <w:t>Количество обучающихся</w:t>
            </w:r>
          </w:p>
        </w:tc>
        <w:tc>
          <w:tcPr>
            <w:tcW w:w="4668" w:type="dxa"/>
          </w:tcPr>
          <w:p>
            <w:pPr>
              <w:pStyle w:val="12"/>
              <w:spacing w:line="240" w:lineRule="auto"/>
              <w:ind w:left="109" w:right="105" w:firstLine="3"/>
              <w:jc w:val="center"/>
            </w:pPr>
            <w:r>
              <w:t>Количество обучающихся,</w:t>
            </w:r>
          </w:p>
          <w:p>
            <w:pPr>
              <w:pStyle w:val="12"/>
              <w:spacing w:line="240" w:lineRule="auto"/>
              <w:ind w:left="109" w:right="105" w:firstLine="3"/>
              <w:jc w:val="center"/>
            </w:pPr>
            <w:r>
              <w:rPr>
                <w:spacing w:val="-9"/>
              </w:rPr>
              <w:t xml:space="preserve"> </w:t>
            </w:r>
            <w:r>
              <w:t>участвовавших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анкетировании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29" w:type="dxa"/>
          </w:tcPr>
          <w:p>
            <w:pPr>
              <w:pStyle w:val="12"/>
              <w:spacing w:line="240" w:lineRule="auto"/>
              <w:ind w:left="306"/>
            </w:pPr>
            <w:r>
              <w:t>2022</w:t>
            </w:r>
          </w:p>
        </w:tc>
        <w:tc>
          <w:tcPr>
            <w:tcW w:w="2693" w:type="dxa"/>
          </w:tcPr>
          <w:p>
            <w:pPr>
              <w:pStyle w:val="12"/>
              <w:spacing w:line="240" w:lineRule="auto"/>
              <w:ind w:left="339" w:right="333"/>
              <w:jc w:val="center"/>
            </w:pPr>
            <w:r>
              <w:t>15</w:t>
            </w:r>
          </w:p>
        </w:tc>
        <w:tc>
          <w:tcPr>
            <w:tcW w:w="4668" w:type="dxa"/>
          </w:tcPr>
          <w:p>
            <w:pPr>
              <w:pStyle w:val="12"/>
              <w:spacing w:line="240" w:lineRule="auto"/>
              <w:ind w:left="339" w:right="333"/>
              <w:jc w:val="center"/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4</w:t>
            </w:r>
          </w:p>
        </w:tc>
      </w:tr>
    </w:tbl>
    <w:p>
      <w:pPr>
        <w:pStyle w:val="7"/>
        <w:rPr>
          <w:sz w:val="24"/>
          <w:szCs w:val="24"/>
        </w:rPr>
      </w:pPr>
    </w:p>
    <w:p>
      <w:pPr>
        <w:pStyle w:val="7"/>
        <w:tabs>
          <w:tab w:val="left" w:pos="9498"/>
        </w:tabs>
        <w:ind w:right="221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 заполнения обучающимися анкеты, направленной на выявление и оценку процесса организации, содержания и качества образовательного процесса; показывает в целом положительное отношение обучающихся к созданным в Филиале условиями для получения образования.</w:t>
      </w:r>
    </w:p>
    <w:p>
      <w:pPr>
        <w:pStyle w:val="7"/>
        <w:tabs>
          <w:tab w:val="left" w:pos="9498"/>
        </w:tabs>
        <w:ind w:right="221" w:firstLine="851"/>
        <w:jc w:val="both"/>
        <w:rPr>
          <w:sz w:val="24"/>
          <w:szCs w:val="24"/>
        </w:rPr>
      </w:pPr>
      <w:r>
        <w:rPr>
          <w:sz w:val="24"/>
          <w:szCs w:val="24"/>
        </w:rPr>
        <w:t>Большинство обучающихся отметили, что структура образовательной программы содержит дисциплины, необходимые для ведения профессиональной деятельности, затруднение в ответе вызвано ответами студентов 1 курса, у которых в этом году общеобразовательные дисциплины.</w:t>
      </w:r>
    </w:p>
    <w:p>
      <w:pPr>
        <w:pStyle w:val="7"/>
        <w:tabs>
          <w:tab w:val="left" w:pos="9498"/>
        </w:tabs>
        <w:ind w:right="22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Студенты отметили, что есть возможность самостоятельного выбора места практики. </w:t>
      </w:r>
    </w:p>
    <w:p>
      <w:pPr>
        <w:pStyle w:val="7"/>
        <w:tabs>
          <w:tab w:val="left" w:pos="9498"/>
        </w:tabs>
        <w:ind w:right="224" w:firstLine="851"/>
        <w:jc w:val="both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>Абсолютное</w:t>
      </w:r>
      <w:r>
        <w:rPr>
          <w:spacing w:val="-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большинство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обучающихся,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принявших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участие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анкетиро</w:t>
      </w:r>
      <w:r>
        <w:rPr>
          <w:spacing w:val="-2"/>
          <w:sz w:val="24"/>
          <w:szCs w:val="24"/>
        </w:rPr>
        <w:t>вании,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удовлетворены</w:t>
      </w:r>
      <w:r>
        <w:rPr>
          <w:spacing w:val="-13"/>
          <w:sz w:val="24"/>
          <w:szCs w:val="24"/>
        </w:rPr>
        <w:t xml:space="preserve"> работой в электронно-библиотечной системе образовательной организации; отмечают доступность учебников, методических пособий, лекции и заданий в  электронной и печатной формах.</w:t>
      </w:r>
    </w:p>
    <w:p>
      <w:pPr>
        <w:pStyle w:val="7"/>
        <w:tabs>
          <w:tab w:val="left" w:pos="9498"/>
        </w:tabs>
        <w:ind w:right="224" w:firstLine="851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 xml:space="preserve">Доступность преподавателей для получения консультаций отметили </w:t>
      </w:r>
      <w:r>
        <w:rPr>
          <w:rFonts w:hint="default"/>
          <w:spacing w:val="-13"/>
          <w:sz w:val="24"/>
          <w:szCs w:val="24"/>
          <w:lang w:val="ru-RU"/>
        </w:rPr>
        <w:t xml:space="preserve"> практически все </w:t>
      </w:r>
      <w:r>
        <w:rPr>
          <w:sz w:val="24"/>
          <w:szCs w:val="24"/>
        </w:rPr>
        <w:t xml:space="preserve"> опрашиваемы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</w:rPr>
        <w:t xml:space="preserve">; при этом связь с преподавателями осуществляется в различных формах – во время консультаций, по электронной почте, телефону и на сайте образовательной организации через систему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. </w:t>
      </w:r>
    </w:p>
    <w:p>
      <w:pPr>
        <w:pStyle w:val="7"/>
        <w:tabs>
          <w:tab w:val="left" w:pos="9498"/>
        </w:tabs>
        <w:ind w:right="224"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Занятия проводятся с использованием интерактивных форм обучения, регулярно проводятся мастер-классы. Создание благоприятной атмосферы  для обучения отмечают все  обучающихся, большая часть удовлетворены качеством аудиторий.</w:t>
      </w:r>
    </w:p>
    <w:p>
      <w:pPr>
        <w:pStyle w:val="7"/>
        <w:tabs>
          <w:tab w:val="left" w:pos="9498"/>
        </w:tabs>
        <w:ind w:right="219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Анкетирование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выявило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недостаточную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осведомленность обучающихся о работе органов студенческого самоуправления (студенческий совет, др.), входящих в структуру Филиала.</w:t>
      </w:r>
    </w:p>
    <w:p>
      <w:pPr>
        <w:pStyle w:val="7"/>
        <w:tabs>
          <w:tab w:val="left" w:pos="9498"/>
        </w:tabs>
        <w:ind w:right="221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целом, обучающиеся оценивают удовлетворенность качеством образования по программе как высокую: ответ «хорошо» присутствует у 3</w:t>
      </w:r>
      <w:r>
        <w:rPr>
          <w:rFonts w:hint="default"/>
          <w:sz w:val="24"/>
          <w:szCs w:val="24"/>
          <w:lang w:val="ru-RU"/>
        </w:rPr>
        <w:t>6</w:t>
      </w:r>
      <w:r>
        <w:rPr>
          <w:sz w:val="24"/>
          <w:szCs w:val="24"/>
        </w:rPr>
        <w:t>% респондентов, «отлично»  - у  5</w:t>
      </w:r>
      <w:r>
        <w:rPr>
          <w:rFonts w:hint="default"/>
          <w:sz w:val="24"/>
          <w:szCs w:val="24"/>
          <w:lang w:val="ru-RU"/>
        </w:rPr>
        <w:t>0</w:t>
      </w:r>
      <w:r>
        <w:rPr>
          <w:sz w:val="24"/>
          <w:szCs w:val="24"/>
        </w:rPr>
        <w:t>% обучающихся.</w:t>
      </w:r>
    </w:p>
    <w:p>
      <w:pPr>
        <w:pStyle w:val="11"/>
        <w:tabs>
          <w:tab w:val="left" w:pos="1115"/>
        </w:tabs>
        <w:ind w:left="851" w:right="231" w:firstLine="0"/>
        <w:jc w:val="center"/>
        <w:rPr>
          <w:b/>
          <w:bCs/>
          <w:sz w:val="24"/>
          <w:szCs w:val="24"/>
        </w:rPr>
      </w:pPr>
      <w:bookmarkStart w:id="1" w:name="_GoBack"/>
      <w:bookmarkEnd w:id="1"/>
    </w:p>
    <w:p>
      <w:pPr>
        <w:pStyle w:val="11"/>
        <w:tabs>
          <w:tab w:val="left" w:pos="1115"/>
        </w:tabs>
        <w:ind w:left="851" w:right="231" w:firstLine="0"/>
        <w:jc w:val="center"/>
        <w:rPr>
          <w:b/>
          <w:bCs/>
          <w:sz w:val="24"/>
          <w:szCs w:val="24"/>
        </w:rPr>
      </w:pPr>
    </w:p>
    <w:p>
      <w:pPr>
        <w:pStyle w:val="11"/>
        <w:tabs>
          <w:tab w:val="left" w:pos="1115"/>
        </w:tabs>
        <w:ind w:left="851" w:right="231" w:firstLine="0"/>
        <w:jc w:val="center"/>
        <w:rPr>
          <w:b/>
          <w:bCs/>
          <w:sz w:val="24"/>
          <w:szCs w:val="24"/>
        </w:rPr>
      </w:pPr>
    </w:p>
    <w:p>
      <w:pPr>
        <w:pStyle w:val="11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pStyle w:val="11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Есть ли у Вас возможность подключения к электронно-библиотечной системе образовательной организации из любой точки, где есть сеть Интернет?</w:t>
      </w:r>
    </w:p>
    <w:p>
      <w:pPr>
        <w:pStyle w:val="11"/>
        <w:widowControl/>
        <w:shd w:val="clear" w:color="auto" w:fill="FFFFFF"/>
        <w:autoSpaceDE/>
        <w:autoSpaceDN/>
        <w:ind w:left="0" w:firstLine="0"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pStyle w:val="11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Доступны ли Вам учебники, методические пособия, лекции и т.д. в электронной и печатной формах?</w:t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pStyle w:val="11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Оцените доступность преподавателей. Всегда ли они доступны для консультаций?</w:t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pStyle w:val="11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Каким образом осуществляется связь с преподавателями вне  учебных занятий?</w:t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pStyle w:val="11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Проводятся ли у Вас занятия в интерактивной форме?</w:t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pStyle w:val="11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Проводятся ли по программе мастер-классы? Как регулярно?</w:t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pStyle w:val="11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Создана ли в ОО атмосфера, благоприятная для обучения?</w:t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pStyle w:val="11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Принимаете ли Вы участие в работе органов студенческого самоуправления (студенческий совет, др.)?</w:t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pStyle w:val="11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Удовлетворяет ли Вас качество аудиторий, помещений кафедр, фондов и читального зала библиотеки, учебных лаборатории и оборудования?</w:t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pStyle w:val="11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pacing w:val="3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Оцените, как организована самостоятельная работа в ОО? Есть ли для этого помещения, компьютерное обеспечение и т.д.?</w:t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pStyle w:val="11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t>Оцените, пожалуйста, качество образования по программе в целом.</w:t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  <w:r>
        <w:rPr>
          <w:color w:val="202124"/>
          <w:sz w:val="24"/>
          <w:szCs w:val="24"/>
          <w:lang w:eastAsia="ru-RU"/>
        </w:rPr>
        <w:drawing>
          <wp:inline distT="0" distB="0" distL="0" distR="0">
            <wp:extent cx="2901950" cy="1724660"/>
            <wp:effectExtent l="0" t="0" r="12700" b="279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p>
      <w:pPr>
        <w:widowControl/>
        <w:shd w:val="clear" w:color="auto" w:fill="FFFFFF"/>
        <w:autoSpaceDE/>
        <w:autoSpaceDN/>
        <w:rPr>
          <w:color w:val="202124"/>
          <w:sz w:val="24"/>
          <w:szCs w:val="24"/>
          <w:lang w:eastAsia="ru-RU"/>
        </w:rPr>
      </w:pPr>
    </w:p>
    <w:sectPr>
      <w:footerReference r:id="rId3" w:type="default"/>
      <w:pgSz w:w="11910" w:h="16840"/>
      <w:pgMar w:top="1040" w:right="620" w:bottom="960" w:left="1134" w:header="0" w:footer="77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310.05pt;margin-top:791.95pt;height:15.3pt;width:18pt;mso-position-horizontal-relative:page;mso-position-vertical-relative:page;z-index:-251657216;mso-width-relative:page;mso-height-relative:page;" filled="f" stroked="f" coordsize="21600,21600" o:gfxdata="UEsDBAoAAAAAAIdO4kAAAAAAAAAAAAAAAAAEAAAAZHJzL1BLAwQUAAAACACHTuJAHzPWRtoAAAAN&#10;AQAADwAAAGRycy9kb3ducmV2LnhtbE2PzU7DMBCE70i8g7VI3KidQqw2xKkQghMSIg0Hjk7sJlbj&#10;dYjdH96e5VSOO/NpdqbcnP3IjnaOLqCCbCGAWeyCcdgr+Gxe71bAYtJo9BjQKvixETbV9VWpCxNO&#10;WNvjNvWMQjAWWsGQ0lRwHrvBeh0XYbJI3i7MXic6556bWZ8o3I98KYTkXjukD4Oe7PNgu/324BU8&#10;fWH94r7f2496V7umWQt8k3ulbm8y8Qgs2XO6wPBXn6pDRZ3acEAT2ahALkVGKBn56n4NjBCZS5Ja&#10;kmT2kAOvSv5/RfULUEsDBBQAAAAIAIdO4kBYMqle+wEAAAMEAAAOAAAAZHJzL2Uyb0RvYy54bWyt&#10;U01v2zAMvQ/YfxB0X5xkQ9EZcYquQYcB3QfQ7gcwshwLs0SNkmNnv36UnGRde+mhF4GiqKf3HqnV&#10;1Wg7sdcUDLpKLmZzKbRTWBu3q+TPh9t3l1KECK6GDp2u5EEHebV++2Y1+FIvscWu1iQYxIVy8JVs&#10;Y/RlUQTVagthhl47PmyQLETe0q6oCQZGt12xnM8vigGp9oRKh8DZzXQoj4j0EkBsGqP0BlVvtYsT&#10;KukOIksKrfFBrjPbptEqfm+aoKPoKslKY175EY63aS3WKyh3BL416kgBXkLhiSYLxvGjZ6gNRBA9&#10;mWdQ1ijCgE2cKbTFJCQ7wioW8yfe3LfgddbCVgd/Nj28Hqz6tv9BwtSVXErhwHLDH/QYxSccxSK5&#10;M/hQctG957I4cppnJisN/g7VryAc3rTgdvqaCIdWQ83s8s3i0dUJJySQ7fAVa34G+ogZaGzIJuvY&#10;DMHo3JnDuTOJiuLkcnl5MecTxUeLjx/eL3LnCihPlz2F+FmjFSmoJHHjMzjs70JkGVx6KklvObw1&#10;XZeb37n/ElyYMpl84jsxj+N2PJqxxfrAMginWeKfxEGL9EeKgeeokuF3D6Sl6L44tiIN3SmgU7A9&#10;BeAUX61klGIKb+I0nL0ns2sZeTLb4TXb1ZgsJfk6sTjy5NnICo9znIbv8T5X/fu76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fM9ZG2gAAAA0BAAAPAAAAAAAAAAEAIAAAACIAAABkcnMvZG93bnJl&#10;di54bWxQSwECFAAUAAAACACHTuJAWDKpXvsBAAADBAAADgAAAAAAAAABACAAAAAp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B23AD8"/>
    <w:multiLevelType w:val="multilevel"/>
    <w:tmpl w:val="47B23AD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F6"/>
    <w:rsid w:val="0001521A"/>
    <w:rsid w:val="00020446"/>
    <w:rsid w:val="0002070D"/>
    <w:rsid w:val="00035614"/>
    <w:rsid w:val="0008237F"/>
    <w:rsid w:val="000B6D11"/>
    <w:rsid w:val="000C2612"/>
    <w:rsid w:val="00117B3B"/>
    <w:rsid w:val="001504E3"/>
    <w:rsid w:val="0017253D"/>
    <w:rsid w:val="00224595"/>
    <w:rsid w:val="0027382C"/>
    <w:rsid w:val="002756D3"/>
    <w:rsid w:val="0028026F"/>
    <w:rsid w:val="002B45A7"/>
    <w:rsid w:val="00366154"/>
    <w:rsid w:val="003731F8"/>
    <w:rsid w:val="00396E8D"/>
    <w:rsid w:val="003B7A17"/>
    <w:rsid w:val="003F4A6F"/>
    <w:rsid w:val="004360F1"/>
    <w:rsid w:val="005414B5"/>
    <w:rsid w:val="00583ABC"/>
    <w:rsid w:val="0058523F"/>
    <w:rsid w:val="005A09A1"/>
    <w:rsid w:val="005A6464"/>
    <w:rsid w:val="005D61F7"/>
    <w:rsid w:val="006F2FFB"/>
    <w:rsid w:val="00713761"/>
    <w:rsid w:val="00715093"/>
    <w:rsid w:val="00751751"/>
    <w:rsid w:val="00762BF6"/>
    <w:rsid w:val="00765AA1"/>
    <w:rsid w:val="007845A6"/>
    <w:rsid w:val="008332F5"/>
    <w:rsid w:val="00877AB0"/>
    <w:rsid w:val="008961F4"/>
    <w:rsid w:val="008F4608"/>
    <w:rsid w:val="00934484"/>
    <w:rsid w:val="009414D3"/>
    <w:rsid w:val="00976451"/>
    <w:rsid w:val="00984766"/>
    <w:rsid w:val="009A6490"/>
    <w:rsid w:val="009F421C"/>
    <w:rsid w:val="00A03C8E"/>
    <w:rsid w:val="00A705F1"/>
    <w:rsid w:val="00A746D1"/>
    <w:rsid w:val="00AC27FD"/>
    <w:rsid w:val="00AE65F1"/>
    <w:rsid w:val="00B01FCC"/>
    <w:rsid w:val="00B139E6"/>
    <w:rsid w:val="00C064F8"/>
    <w:rsid w:val="00C1311C"/>
    <w:rsid w:val="00C33C83"/>
    <w:rsid w:val="00C6071F"/>
    <w:rsid w:val="00C65C37"/>
    <w:rsid w:val="00C8210A"/>
    <w:rsid w:val="00CC7936"/>
    <w:rsid w:val="00D05613"/>
    <w:rsid w:val="00D41DD2"/>
    <w:rsid w:val="00D46853"/>
    <w:rsid w:val="00D7312C"/>
    <w:rsid w:val="00DE1D09"/>
    <w:rsid w:val="00E20D24"/>
    <w:rsid w:val="00E5055B"/>
    <w:rsid w:val="00E74437"/>
    <w:rsid w:val="00E87ACD"/>
    <w:rsid w:val="00F2791D"/>
    <w:rsid w:val="00F742EF"/>
    <w:rsid w:val="00F76A1E"/>
    <w:rsid w:val="319E57B3"/>
    <w:rsid w:val="379763A0"/>
    <w:rsid w:val="43605396"/>
    <w:rsid w:val="4EB0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spacing w:before="72"/>
      <w:ind w:left="1069"/>
      <w:outlineLvl w:val="0"/>
    </w:pPr>
    <w:rPr>
      <w:b/>
      <w:bCs/>
      <w:sz w:val="28"/>
      <w:szCs w:val="28"/>
    </w:rPr>
  </w:style>
  <w:style w:type="paragraph" w:styleId="3">
    <w:name w:val="heading 3"/>
    <w:next w:val="1"/>
    <w:semiHidden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bCs/>
      <w:sz w:val="26"/>
      <w:szCs w:val="26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14"/>
    <w:qFormat/>
    <w:uiPriority w:val="1"/>
    <w:rPr>
      <w:sz w:val="28"/>
      <w:szCs w:val="28"/>
    </w:rPr>
  </w:style>
  <w:style w:type="paragraph" w:styleId="8">
    <w:name w:val="Title"/>
    <w:basedOn w:val="1"/>
    <w:link w:val="13"/>
    <w:qFormat/>
    <w:uiPriority w:val="10"/>
    <w:pPr>
      <w:ind w:left="416" w:right="429"/>
      <w:jc w:val="center"/>
    </w:pPr>
    <w:rPr>
      <w:b/>
      <w:bCs/>
      <w:sz w:val="32"/>
      <w:szCs w:val="32"/>
    </w:rPr>
  </w:style>
  <w:style w:type="paragraph" w:styleId="9">
    <w:name w:val="Normal (Web)"/>
    <w:semiHidden/>
    <w:unhideWhenUsed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222" w:firstLine="707"/>
    </w:pPr>
  </w:style>
  <w:style w:type="paragraph" w:customStyle="1" w:styleId="12">
    <w:name w:val="Table Paragraph"/>
    <w:basedOn w:val="1"/>
    <w:qFormat/>
    <w:uiPriority w:val="1"/>
    <w:pPr>
      <w:spacing w:line="256" w:lineRule="exact"/>
      <w:ind w:left="107"/>
    </w:pPr>
  </w:style>
  <w:style w:type="character" w:customStyle="1" w:styleId="13">
    <w:name w:val="Название Знак"/>
    <w:basedOn w:val="4"/>
    <w:link w:val="8"/>
    <w:qFormat/>
    <w:uiPriority w:val="10"/>
    <w:rPr>
      <w:rFonts w:ascii="Times New Roman" w:hAnsi="Times New Roman" w:eastAsia="Times New Roman" w:cs="Times New Roman"/>
      <w:b/>
      <w:bCs/>
      <w:sz w:val="32"/>
      <w:szCs w:val="32"/>
      <w:lang w:val="ru-RU"/>
    </w:rPr>
  </w:style>
  <w:style w:type="character" w:customStyle="1" w:styleId="14">
    <w:name w:val="Основной текст Знак"/>
    <w:basedOn w:val="4"/>
    <w:link w:val="7"/>
    <w:qFormat/>
    <w:uiPriority w:val="1"/>
    <w:rPr>
      <w:rFonts w:ascii="Times New Roman" w:hAnsi="Times New Roman" w:eastAsia="Times New Roman" w:cs="Times New Roman"/>
      <w:sz w:val="28"/>
      <w:szCs w:val="28"/>
      <w:lang w:val="ru-RU"/>
    </w:rPr>
  </w:style>
  <w:style w:type="character" w:customStyle="1" w:styleId="15">
    <w:name w:val="m7eme"/>
    <w:basedOn w:val="4"/>
    <w:qFormat/>
    <w:uiPriority w:val="0"/>
  </w:style>
  <w:style w:type="paragraph" w:customStyle="1" w:styleId="16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SimSun"/>
      <w:vanish/>
      <w:sz w:val="16"/>
    </w:rPr>
  </w:style>
  <w:style w:type="paragraph" w:customStyle="1" w:styleId="17">
    <w:name w:val="_Style 15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SimSun"/>
      <w:vanish/>
      <w:sz w:val="16"/>
    </w:rPr>
  </w:style>
  <w:style w:type="character" w:customStyle="1" w:styleId="18">
    <w:name w:val="Текст выноски Знак"/>
    <w:basedOn w:val="4"/>
    <w:link w:val="6"/>
    <w:semiHidden/>
    <w:uiPriority w:val="99"/>
    <w:rPr>
      <w:rFonts w:ascii="Tahoma" w:hAnsi="Tahoma" w:eastAsia="Times New Roman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chart" Target="charts/chart12.xml"/><Relationship Id="rId15" Type="http://schemas.openxmlformats.org/officeDocument/2006/relationships/chart" Target="charts/chart11.xml"/><Relationship Id="rId14" Type="http://schemas.openxmlformats.org/officeDocument/2006/relationships/chart" Target="charts/chart10.xml"/><Relationship Id="rId13" Type="http://schemas.openxmlformats.org/officeDocument/2006/relationships/chart" Target="charts/chart9.xml"/><Relationship Id="rId12" Type="http://schemas.openxmlformats.org/officeDocument/2006/relationships/chart" Target="charts/chart8.xml"/><Relationship Id="rId11" Type="http://schemas.openxmlformats.org/officeDocument/2006/relationships/chart" Target="charts/chart7.xml"/><Relationship Id="rId10" Type="http://schemas.openxmlformats.org/officeDocument/2006/relationships/chart" Target="charts/chart6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8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1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7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Полностью соответствует</c:v>
                </c:pt>
                <c:pt idx="1">
                  <c:v>В основном, соответствует</c:v>
                </c:pt>
                <c:pt idx="2">
                  <c:v>В большей мере, не соответствует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920002067575"/>
          <c:y val="0.146319260839788"/>
          <c:w val="0.443079997932425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Удовлетворяют</c:v>
                </c:pt>
                <c:pt idx="1">
                  <c:v>В большей степени </c:v>
                </c:pt>
                <c:pt idx="2">
                  <c:v>Не в полной мере </c:v>
                </c:pt>
                <c:pt idx="3">
                  <c:v>Не удовлетворяют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920002067575"/>
          <c:y val="0.146319260839788"/>
          <c:w val="0.443079997932425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Не в полной мере</c:v>
                </c:pt>
                <c:pt idx="2">
                  <c:v>В большей степени удовлетворен </c:v>
                </c:pt>
                <c:pt idx="3">
                  <c:v>Не удовлетоврен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920002067575"/>
          <c:y val="0.146319260839788"/>
          <c:w val="0.443079997932425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 </c:v>
                </c:pt>
                <c:pt idx="2">
                  <c:v>Удовлетворительно</c:v>
                </c:pt>
                <c:pt idx="3">
                  <c:v>Не удовлетворительно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920002067575"/>
          <c:y val="0.146319260839788"/>
          <c:w val="0.443079997932425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всегда</c:v>
                </c:pt>
                <c:pt idx="1">
                  <c:v>Не всегда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8187993363027"/>
          <c:y val="0.146319260839788"/>
          <c:w val="0.451812057409673"/>
          <c:h val="0.75766585877796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6326435672565"/>
          <c:y val="0.146319260839788"/>
          <c:w val="0.333673611417358"/>
          <c:h val="0.74303978755232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Достаточно</c:v>
                </c:pt>
                <c:pt idx="1">
                  <c:v>В большей степени достаточно</c:v>
                </c:pt>
                <c:pt idx="2">
                  <c:v>Не в полне достаточно </c:v>
                </c:pt>
                <c:pt idx="3">
                  <c:v>Не достаточно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920002067575"/>
          <c:y val="0.146319260839788"/>
          <c:w val="0.443079997932425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По расписанию консультаций</c:v>
                </c:pt>
                <c:pt idx="1">
                  <c:v>По электронной почте</c:v>
                </c:pt>
                <c:pt idx="2">
                  <c:v>По телефону</c:v>
                </c:pt>
                <c:pt idx="3">
                  <c:v>На странице сайта образовательной организации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920002067575"/>
          <c:y val="0.146319260839788"/>
          <c:w val="0.443079997932425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2587398128844"/>
          <c:y val="0.161066529055002"/>
          <c:w val="0.307412601871156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Регулярно</c:v>
                </c:pt>
                <c:pt idx="1">
                  <c:v>Он случая к случаю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2587398128844"/>
          <c:y val="0.161066529055002"/>
          <c:w val="0.307412601871156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256051965058"/>
          <c:y val="0.146319260839788"/>
          <c:w val="0.307439583700829"/>
          <c:h val="0.76495193255482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  <c:pt idx="3">
                  <c:v>у нас их нет</c:v>
                </c:pt>
                <c:pt idx="4">
                  <c:v>я о них не знаю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920002067575"/>
          <c:y val="0.146319260839788"/>
          <c:w val="0.443079997932425"/>
          <c:h val="0.79430090568575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87C9B3-B889-41FF-968B-377493A985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4</Pages>
  <Words>530</Words>
  <Characters>3027</Characters>
  <Lines>25</Lines>
  <Paragraphs>7</Paragraphs>
  <TotalTime>241</TotalTime>
  <ScaleCrop>false</ScaleCrop>
  <LinksUpToDate>false</LinksUpToDate>
  <CharactersWithSpaces>3550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2023-11-09T17:18:00Z</dcterms:created>
  <dc:creator>Усова Татьяна Ивановна</dc:creator>
  <cp:lastModifiedBy>маша1982 киценко</cp:lastModifiedBy>
  <dcterms:modified xsi:type="dcterms:W3CDTF">2023-11-10T04:53:19Z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2023-09-21T00:00:00Z</vt:filetime>
  </property>
  <property fmtid="{D5CDD505-2E9C-101B-9397-08002B2CF9AE}" pid="5" name="KSOProductBuildVer">
    <vt:lpwstr>1049-11.2.0.11537</vt:lpwstr>
  </property>
  <property fmtid="{D5CDD505-2E9C-101B-9397-08002B2CF9AE}" pid="6" name="ICV">
    <vt:lpwstr>B46060E4C1304876838ED72E663EF8A2</vt:lpwstr>
  </property>
</Properties>
</file>