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07.08.2020 N 916</w:t>
              <w:br/>
              <w:t xml:space="preserve">(ред. от 27.02.2023)</w:t>
              <w:br/>
              <w:t xml:space="preserve">"Об утверждении федерального государственного образовательного стандарта высшего образования - бакалавриат по направлению подготовки 23.03.03 Эксплуатация транспортно-технологических машин и комплексов"</w:t>
              <w:br/>
              <w:t xml:space="preserve">(Зарегистрировано в Минюсте России 24.08.2020 N 59405)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24 августа 2020 г. N 59405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НАУКИ И ВЫСШЕГО ОБРАЗОВАНИЯ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августа 2020 г. N 916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ВЫСШЕГО ОБРАЗОВАНИЯ - БАКАЛАВРИАТ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23.03.03 ЭКСПЛУАТАЦИЯ ТРАНСПОРТНО-ТЕХНОЛОГИЧЕСКИХ</w:t>
      </w:r>
    </w:p>
    <w:p>
      <w:pPr>
        <w:pStyle w:val="2"/>
        <w:jc w:val="center"/>
      </w:pPr>
      <w:r>
        <w:rPr>
          <w:sz w:val="20"/>
        </w:rPr>
        <w:t xml:space="preserve">МАШИН И КОМПЛЕКСОВ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7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8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9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Постановление Правительства РФ от 15.06.2018 N 682 (ред. от 03.10.2023) &quot;Об утверждении Положения о Министерстве науки и высшего образова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4.2.38 пункта 4.2</w:t>
        </w:r>
      </w:hyperlink>
      <w:r>
        <w:rPr>
          <w:sz w:val="20"/>
        </w:rP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w:history="0" r:id="rId11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40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высшего образования - бакалавриат по направлению подготовки 23.03.03 Эксплуатация транспортно-технологических машин и комплексов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высшего образования вправе осуществлять в соответствии со </w:t>
      </w:r>
      <w:hyperlink w:history="0" w:anchor="P40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12" w:tooltip="Приказ Минобрнауки России от 14.12.2015 N 1470 (ред. от 20.04.2016) &quot;Об утверждении федерального государственного образовательного стандарта высшего образования по направлению подготовки 23.03.03 Эксплуатация транспортно-технологических машин и комплексов (уровень бакалавриата)&quot; (Зарегистрировано в Минюсте России 18.01.2016 N 40622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бакалавриата), утвержденным приказом Министерства образования и науки Российской Федерации от 14 декабря 2015 г. N 1470 (зарегистрирован Министерством юстиции Российской Федерации 18 января 2016 г., регистрационный N 40622),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Министра</w:t>
      </w:r>
    </w:p>
    <w:p>
      <w:pPr>
        <w:pStyle w:val="0"/>
        <w:jc w:val="right"/>
      </w:pPr>
      <w:r>
        <w:rPr>
          <w:sz w:val="20"/>
        </w:rPr>
        <w:t xml:space="preserve">А.В.НАРУКАВНИКОВ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августа 2020 г. N 916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ВЫСШЕГО ОБРАЗОВАНИЯ - БАКАЛАВРИАТ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23.03.03 ЭКСПЛУАТАЦИЯ ТРАНСПОРТНО-ТЕХНОЛОГИЧЕСКИХ</w:t>
      </w:r>
    </w:p>
    <w:p>
      <w:pPr>
        <w:pStyle w:val="2"/>
        <w:jc w:val="center"/>
      </w:pPr>
      <w:r>
        <w:rPr>
          <w:sz w:val="20"/>
        </w:rPr>
        <w:t xml:space="preserve">МАШИН И КОМПЛЕКСОВ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26.11.2020 </w:t>
            </w:r>
            <w:hyperlink w:history="0" r:id="rId13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      <w:r>
                <w:rPr>
                  <w:sz w:val="20"/>
                  <w:color w:val="0000ff"/>
                </w:rPr>
                <w:t xml:space="preserve">N 1456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19.07.2022 </w:t>
            </w:r>
            <w:hyperlink w:history="0" r:id="rId14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      <w:r>
                <w:rPr>
                  <w:sz w:val="20"/>
                  <w:color w:val="0000ff"/>
                </w:rPr>
                <w:t xml:space="preserve">N 662</w:t>
              </w:r>
            </w:hyperlink>
            <w:r>
              <w:rPr>
                <w:sz w:val="20"/>
                <w:color w:val="392c69"/>
              </w:rPr>
              <w:t xml:space="preserve">, от 27.02.2023 </w:t>
            </w:r>
            <w:hyperlink w:history="0" r:id="rId15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N 208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Обучение по программе бакалавриата в Организации может осуществляться в очной, очно-заочной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программы бакалавриата осуществляется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1.8. Срок получения образования по программе бакалавриата (вне зависимости от применяемых образовательных технологий):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Организация самостоятельно определяет в пределах сроков и объемов, установленных </w:t>
      </w:r>
      <w:hyperlink w:history="0" w:anchor="P62" w:tooltip="1.8. Срок получения образования по программе бакалавриата (вне зависимости от применяемых образовательных технологий):">
        <w:r>
          <w:rPr>
            <w:sz w:val="20"/>
            <w:color w:val="0000ff"/>
          </w:rPr>
          <w:t xml:space="preserve">пунктами 1.8</w:t>
        </w:r>
      </w:hyperlink>
      <w:r>
        <w:rPr>
          <w:sz w:val="20"/>
        </w:rPr>
        <w:t xml:space="preserve"> и </w:t>
      </w:r>
      <w:hyperlink w:history="0" w:anchor="P66" w:tooltip="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">
        <w:r>
          <w:rPr>
            <w:sz w:val="20"/>
            <w:color w:val="0000ff"/>
          </w:rPr>
          <w:t xml:space="preserve">1.9</w:t>
        </w:r>
      </w:hyperlink>
      <w:r>
        <w:rPr>
          <w:sz w:val="20"/>
        </w:rPr>
        <w:t xml:space="preserve"> ФГОС 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программы бакалавриата, реализуемый за один учебный год.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01</w:t>
        </w:r>
      </w:hyperlink>
      <w:r>
        <w:rPr>
          <w:sz w:val="20"/>
        </w:rPr>
        <w:t xml:space="preserve"> Образование и наука (в сферах: реализации программ профессионального обучения; научных исследований в области транспорта, строительства);</w:t>
      </w:r>
    </w:p>
    <w:p>
      <w:pPr>
        <w:pStyle w:val="0"/>
        <w:spacing w:before="200" w:line-rule="auto"/>
        <w:ind w:firstLine="540"/>
        <w:jc w:val="both"/>
      </w:pP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>
      <w:pPr>
        <w:pStyle w:val="0"/>
        <w:spacing w:before="200" w:line-rule="auto"/>
        <w:ind w:firstLine="540"/>
        <w:jc w:val="both"/>
      </w:pP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(в сферах: материально-технического обеспечения производства; логистики на транспорте; автоматизированных систем управления производством).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производственно-технологический;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расчетно-проектный;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экспериментально-исследовательский;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организационно-управленческий;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сервисно-эксплуатационный;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монтажно-наладочный.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область (области) профессиональной деятельности и сферу (сферы)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(типы) задач и задачи профессиональной деятельности выпускников;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- на объекты профессиональной деятельности выпускников или область (области) знания.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программы бакалавриата включает следующие блоки:</w:t>
      </w:r>
    </w:p>
    <w:p>
      <w:pPr>
        <w:pStyle w:val="0"/>
        <w:spacing w:before="200" w:line-rule="auto"/>
        <w:ind w:firstLine="540"/>
        <w:jc w:val="both"/>
      </w:pPr>
      <w:hyperlink w:history="0" w:anchor="P110" w:tooltip="Блок 1">
        <w:r>
          <w:rPr>
            <w:sz w:val="20"/>
            <w:color w:val="0000ff"/>
          </w:rPr>
          <w:t xml:space="preserve">Блок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hyperlink w:history="0" w:anchor="P113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"Практика";</w:t>
      </w:r>
    </w:p>
    <w:p>
      <w:pPr>
        <w:pStyle w:val="0"/>
        <w:spacing w:before="200" w:line-rule="auto"/>
        <w:ind w:firstLine="540"/>
        <w:jc w:val="both"/>
      </w:pPr>
      <w:hyperlink w:history="0" w:anchor="P116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и объем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1"/>
        <w:gridCol w:w="4479"/>
        <w:gridCol w:w="3231"/>
      </w:tblGrid>
      <w:tr>
        <w:tc>
          <w:tcPr>
            <w:gridSpan w:val="2"/>
            <w:tcW w:w="58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программы бакалавриата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программы бакалавриата и ее блоков в з.е.</w:t>
            </w:r>
          </w:p>
        </w:tc>
      </w:tr>
      <w:tr>
        <w:tc>
          <w:tcPr>
            <w:tcW w:w="1361" w:type="dxa"/>
            <w:vAlign w:val="center"/>
          </w:tcPr>
          <w:bookmarkStart w:id="110" w:name="P110"/>
          <w:bookmarkEnd w:id="110"/>
          <w:p>
            <w:pPr>
              <w:pStyle w:val="0"/>
              <w:ind w:left="283"/>
            </w:pPr>
            <w:r>
              <w:rPr>
                <w:sz w:val="20"/>
              </w:rPr>
              <w:t xml:space="preserve">Блок 1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162</w:t>
            </w:r>
          </w:p>
        </w:tc>
      </w:tr>
      <w:tr>
        <w:tc>
          <w:tcPr>
            <w:tcW w:w="1361" w:type="dxa"/>
            <w:vAlign w:val="center"/>
          </w:tcPr>
          <w:bookmarkStart w:id="113" w:name="P113"/>
          <w:bookmarkEnd w:id="113"/>
          <w:p>
            <w:pPr>
              <w:pStyle w:val="0"/>
              <w:ind w:left="283"/>
            </w:pPr>
            <w:r>
              <w:rPr>
                <w:sz w:val="20"/>
              </w:rPr>
              <w:t xml:space="preserve">Блок 2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21</w:t>
            </w:r>
          </w:p>
        </w:tc>
      </w:tr>
      <w:tr>
        <w:tc>
          <w:tcPr>
            <w:tcW w:w="1361" w:type="dxa"/>
            <w:vAlign w:val="center"/>
          </w:tcPr>
          <w:bookmarkStart w:id="116" w:name="P116"/>
          <w:bookmarkEnd w:id="116"/>
          <w:p>
            <w:pPr>
              <w:pStyle w:val="0"/>
              <w:ind w:left="283"/>
            </w:pPr>
            <w:r>
              <w:rPr>
                <w:sz w:val="20"/>
              </w:rPr>
              <w:t xml:space="preserve">Блок 3</w:t>
            </w:r>
          </w:p>
        </w:tc>
        <w:tc>
          <w:tcPr>
            <w:tcW w:w="447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</w:t>
            </w:r>
          </w:p>
        </w:tc>
      </w:tr>
      <w:tr>
        <w:tc>
          <w:tcPr>
            <w:gridSpan w:val="2"/>
            <w:tcW w:w="5840" w:type="dxa"/>
            <w:vAlign w:val="center"/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Объем программы бакалавриата</w:t>
            </w:r>
          </w:p>
        </w:tc>
        <w:tc>
          <w:tcPr>
            <w:tcW w:w="32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bookmarkStart w:id="122" w:name="P122"/>
    <w:bookmarkEnd w:id="122"/>
    <w:p>
      <w:pPr>
        <w:pStyle w:val="0"/>
        <w:ind w:firstLine="540"/>
        <w:jc w:val="both"/>
      </w:pPr>
      <w:r>
        <w:rPr>
          <w:sz w:val="20"/>
        </w:rPr>
        <w:t xml:space="preserve">2.2. Программа бакалавриата в рамках </w:t>
      </w:r>
      <w:hyperlink w:history="0" w:anchor="P110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 (модулей) по философии, иностранному языку,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26" w:tooltip="Приказ Минобрнауки России от 19.07.2022 N 662 &quot;О внесении изменений в федеральные государственные образовательные стандарты высшего образования&quot; (Зарегистрировано в Минюсте России 07.10.2022 N 704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19.07.2022 N 662)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Программа бакалавриата должна обеспечивать реализацию дисциплин (модулей) по физической культуре и спорту: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2 з.е. в рамках </w:t>
      </w:r>
      <w:hyperlink w:history="0" w:anchor="P110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</w:t>
      </w:r>
      <w:hyperlink w:history="0" w:anchor="P113" w:tooltip="Блок 2">
        <w:r>
          <w:rPr>
            <w:sz w:val="20"/>
            <w:color w:val="0000ff"/>
          </w:rPr>
          <w:t xml:space="preserve">Блок 2</w:t>
        </w:r>
      </w:hyperlink>
      <w:r>
        <w:rPr>
          <w:sz w:val="20"/>
        </w:rPr>
        <w:t xml:space="preserve"> "Практика" входят учебная и производственная практики (далее вместе - практики).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учебной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ознакомительная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(производственно-технологическая)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 (получение первичных навыков научно-исследовательской 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Типы производственной практики: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технологическая (производственно-технологическая)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эксплуатационная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научно-исследовательская работа.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дополнение к типам практик, указанным в </w:t>
      </w:r>
      <w:hyperlink w:history="0" w:anchor="P130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ВО, ПООП может также содержать рекомендуемые типы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history="0" w:anchor="P130" w:tooltip="2.4. В Блок 2 &quot;Практика&quot; входят учебная и производственная практики (далее вместе - практики).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выбрать один или несколько типов учебной практики и (или) производственной практики из рекомендуемых ПООП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вправе установить дополнительный тип (типы) учебной и (или) производственной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объемы практик каждого типа.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</w:t>
      </w:r>
      <w:hyperlink w:history="0" w:anchor="P116" w:tooltip="Блок 3">
        <w:r>
          <w:rPr>
            <w:sz w:val="20"/>
            <w:color w:val="0000ff"/>
          </w:rPr>
          <w:t xml:space="preserve">Блок 3</w:t>
        </w:r>
      </w:hyperlink>
      <w:r>
        <w:rPr>
          <w:sz w:val="20"/>
        </w:rPr>
        <w:t xml:space="preserve"> "Государственная итоговая аттестация"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выполнение, подготовка к процедуре защиты и защита выпускной квалификационной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Факультативные дисциплины (модули) не включаются в объем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В рамках программы бакалавриата выделяются обязательная часть и часть, формируемая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обязательную часть программы бакалавриата включаются,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(модули), указанные в </w:t>
      </w:r>
      <w:hyperlink w:history="0" w:anchor="P122" w:tooltip="2.2. Программа бакалавриата в рамках Блока 1 &quot;Дисциплины (модули)&quot; должна обеспечивать:">
        <w:r>
          <w:rPr>
            <w:sz w:val="20"/>
            <w:color w:val="0000ff"/>
          </w:rPr>
          <w:t xml:space="preserve">пункте 2.2</w:t>
        </w:r>
      </w:hyperlink>
      <w:r>
        <w:rPr>
          <w:sz w:val="20"/>
        </w:rPr>
        <w:t xml:space="preserve"> ФГОС 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по физической культуре и спорту, реализуемые в рамках </w:t>
      </w:r>
      <w:hyperlink w:history="0" w:anchor="P110" w:tooltip="Блок 1">
        <w:r>
          <w:rPr>
            <w:sz w:val="20"/>
            <w:color w:val="0000ff"/>
          </w:rPr>
          <w:t xml:space="preserve">Блока 1</w:t>
        </w:r>
      </w:hyperlink>
      <w:r>
        <w:rPr>
          <w:sz w:val="20"/>
        </w:rPr>
        <w:t xml:space="preserve"> "Дисциплины (модули)".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Программа бакалавриата должна устанавливать следующие универсальные компетенции: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6633"/>
      </w:tblGrid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и наименование универсальной компетенции выпускника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Системное и критическое мышление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Разработка и реализация проектов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Командная работа и лидерство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УК-3. Способен осуществлять социальное взаимодействие и реализовывать свою роль в команде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Коммуникация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Межкультурное взаимодействие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>
        <w:tc>
          <w:tcPr>
            <w:tcW w:w="2438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c>
          <w:tcPr>
            <w:vMerge w:val="continue"/>
          </w:tcPr>
          <w:p/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Инклюзивная компетентность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УК-9. Способен использовать базовые дефектологические знания в социальной и профессиональной сферах</w:t>
            </w:r>
          </w:p>
        </w:tc>
      </w:tr>
      <w:tr>
        <w:tc>
          <w:tcPr>
            <w:tcW w:w="243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УК-10. Способен принимать обоснованные экономические решения в различных областях жизнедеятельности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Гражданская позиция</w:t>
            </w:r>
          </w:p>
        </w:tc>
        <w:tc>
          <w:tcPr>
            <w:tcW w:w="663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7" w:tooltip="Приказ Минобрнауки России от 27.02.2023 N 208 &quot;О внесении изменений в федеральные государственные образовательные стандарты высшего образования&quot; (Зарегистрировано в Минюсте России 31.03.2023 N 7283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27.02.2023 N 208)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Программа бакалавриата должна устанавливать следующие общепрофессиональные компетенции: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риказ Минобрнауки России от 26.11.2020 N 1456 &quot;О внесении изменений в федеральные государственные образовательные стандарты высшего образования&quot; (Зарегистрировано в Минюсте России 27.05.2021 N 6365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26.11.2020 N 1456)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ОПК-5.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history="0" w:anchor="P278" w:tooltip="ПЕРЕЧЕНЬ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</w:t>
      </w:r>
      <w:r>
        <w:rPr>
          <w:sz w:val="20"/>
        </w:rPr>
        <w:t xml:space="preserve">http://profstandart.rosmintrud.ru</w:t>
      </w:r>
      <w:r>
        <w:rPr>
          <w:sz w:val="20"/>
        </w:rPr>
        <w:t xml:space="preserve">) &lt;3&gt; (при наличии соответствующих профессиональных стандартов).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30" w:tooltip="Приказ Минтруда России от 12.04.2013 N 148н &quot;Об утверждении уровней квалификации в целях разработки проектов профессиональных стандартов&quot; (Зарегистрировано в Минюсте России 27.05.2013 N 2853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history="0" w:anchor="P71" w:tooltip="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">
        <w:r>
          <w:rPr>
            <w:sz w:val="20"/>
            <w:color w:val="0000ff"/>
          </w:rPr>
          <w:t xml:space="preserve">пунктом 1.11</w:t>
        </w:r>
      </w:hyperlink>
      <w:r>
        <w:rPr>
          <w:sz w:val="20"/>
        </w:rP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history="0" w:anchor="P84" w:tooltip="1.12. В рамках освоения программы бакалавриата выпускники могут готовиться к решению задач профессиональной деятельности следующих типов:">
        <w:r>
          <w:rPr>
            <w:sz w:val="20"/>
            <w:color w:val="0000ff"/>
          </w:rPr>
          <w:t xml:space="preserve">пунктом 1.12</w:t>
        </w:r>
      </w:hyperlink>
      <w:r>
        <w:rPr>
          <w:sz w:val="20"/>
        </w:rPr>
        <w:t xml:space="preserve">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Организация устанавливает в программе бакалавриата индикаторы достижения компетенций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 программы бакалавриата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4.2. Общесистемные требования к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history="0" w:anchor="P110" w:tooltip="Блок 1">
        <w:r>
          <w:rPr>
            <w:sz w:val="20"/>
            <w:color w:val="0000ff"/>
          </w:rPr>
          <w:t xml:space="preserve">Блоку 1</w:t>
        </w:r>
      </w:hyperlink>
      <w:r>
        <w:rPr>
          <w:sz w:val="20"/>
        </w:rPr>
        <w:t xml:space="preserve"> "Дисциплины (модули)" и </w:t>
      </w:r>
      <w:hyperlink w:history="0" w:anchor="P116" w:tooltip="Блок 3">
        <w:r>
          <w:rPr>
            <w:sz w:val="20"/>
            <w:color w:val="0000ff"/>
          </w:rPr>
          <w:t xml:space="preserve">Блоку 3</w:t>
        </w:r>
      </w:hyperlink>
      <w:r>
        <w:rPr>
          <w:sz w:val="20"/>
        </w:rPr>
        <w:t xml:space="preserve"> "Государственная итоговая аттестация" в соответствии с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Электронная информационно-образовательная среда Организации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электронного портфолио обучающегося, в том числе сохранение его работ и оценок за эти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фиксацию хода образовательного процесса, результатов промежуточной аттестации и результатов освоения программы бакалавриата;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Федеральный </w:t>
      </w:r>
      <w:hyperlink w:history="0" r:id="rId31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w:history="0" r:id="rId32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Требования к материально-техническому и учебно-методическому обеспечению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частичная замена оборудования его виртуальными аналогами.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кадровым условиям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финансовым условиям реализации программы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33" w:tooltip="Постановление Правительства РФ от 26.06.2015 N 640 (ред. от 16.05.2023) &quot;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&quot; (вместе с &quot;Положением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выполнения государственного задан {КонсультантПлюс}">
        <w:r>
          <w:rPr>
            <w:sz w:val="20"/>
            <w:color w:val="0000ff"/>
          </w:rPr>
          <w:t xml:space="preserve">Пункт 10</w:t>
        </w:r>
      </w:hyperlink>
      <w:r>
        <w:rPr>
          <w:sz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федеральному государственному</w:t>
      </w:r>
    </w:p>
    <w:p>
      <w:pPr>
        <w:pStyle w:val="0"/>
        <w:jc w:val="right"/>
      </w:pPr>
      <w:r>
        <w:rPr>
          <w:sz w:val="20"/>
        </w:rPr>
        <w:t xml:space="preserve">образовательному стандарту</w:t>
      </w:r>
    </w:p>
    <w:p>
      <w:pPr>
        <w:pStyle w:val="0"/>
        <w:jc w:val="right"/>
      </w:pPr>
      <w:r>
        <w:rPr>
          <w:sz w:val="20"/>
        </w:rPr>
        <w:t xml:space="preserve">высшего образования - бакалавриат</w:t>
      </w:r>
    </w:p>
    <w:p>
      <w:pPr>
        <w:pStyle w:val="0"/>
        <w:jc w:val="right"/>
      </w:pPr>
      <w:r>
        <w:rPr>
          <w:sz w:val="20"/>
        </w:rPr>
        <w:t xml:space="preserve">по направлению подготовки 23.03.03</w:t>
      </w:r>
    </w:p>
    <w:p>
      <w:pPr>
        <w:pStyle w:val="0"/>
        <w:jc w:val="right"/>
      </w:pPr>
      <w:r>
        <w:rPr>
          <w:sz w:val="20"/>
        </w:rPr>
        <w:t xml:space="preserve">Эксплуатация транспортно-технологических</w:t>
      </w:r>
    </w:p>
    <w:p>
      <w:pPr>
        <w:pStyle w:val="0"/>
        <w:jc w:val="right"/>
      </w:pPr>
      <w:r>
        <w:rPr>
          <w:sz w:val="20"/>
        </w:rPr>
        <w:t xml:space="preserve">машин и комплексов, утвержденному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науки</w:t>
      </w:r>
    </w:p>
    <w:p>
      <w:pPr>
        <w:pStyle w:val="0"/>
        <w:jc w:val="right"/>
      </w:pPr>
      <w:r>
        <w:rPr>
          <w:sz w:val="20"/>
        </w:rPr>
        <w:t xml:space="preserve">и высшего образования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августа 2020 г. N 916</w:t>
      </w:r>
    </w:p>
    <w:p>
      <w:pPr>
        <w:pStyle w:val="0"/>
        <w:jc w:val="both"/>
      </w:pPr>
      <w:r>
        <w:rPr>
          <w:sz w:val="20"/>
        </w:rPr>
      </w:r>
    </w:p>
    <w:bookmarkStart w:id="278" w:name="P278"/>
    <w:bookmarkEnd w:id="27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ПРОФЕССИОНАЛЬНЫХ СТАНДАРТОВ, СООТВЕТСТВУЮЩИХ</w:t>
      </w:r>
    </w:p>
    <w:p>
      <w:pPr>
        <w:pStyle w:val="2"/>
        <w:jc w:val="center"/>
      </w:pPr>
      <w:r>
        <w:rPr>
          <w:sz w:val="20"/>
        </w:rPr>
        <w:t xml:space="preserve">ПРОФЕССИОНАЛЬНОЙ ДЕЯТЕЛЬНОСТИ ВЫПУСКНИКОВ, ОСВОИВШИХ</w:t>
      </w:r>
    </w:p>
    <w:p>
      <w:pPr>
        <w:pStyle w:val="2"/>
        <w:jc w:val="center"/>
      </w:pPr>
      <w:r>
        <w:rPr>
          <w:sz w:val="20"/>
        </w:rPr>
        <w:t xml:space="preserve">ПРОГРАММУ БАКАЛАВРИАТА ПО НАПРАВЛЕНИЮ ПОДГОТОВКИ</w:t>
      </w:r>
    </w:p>
    <w:p>
      <w:pPr>
        <w:pStyle w:val="2"/>
        <w:jc w:val="center"/>
      </w:pPr>
      <w:r>
        <w:rPr>
          <w:sz w:val="20"/>
        </w:rPr>
        <w:t xml:space="preserve">23.03.03 ЭКСПЛУАТАЦИЯ ТРАНСПОРТНО-ТЕХНОЛОГИЧЕСКИХ</w:t>
      </w:r>
    </w:p>
    <w:p>
      <w:pPr>
        <w:pStyle w:val="2"/>
        <w:jc w:val="center"/>
      </w:pPr>
      <w:r>
        <w:rPr>
          <w:sz w:val="20"/>
        </w:rPr>
        <w:t xml:space="preserve">МАШИН И КОМПЛЕКСОВ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984"/>
        <w:gridCol w:w="6406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профессионального стандарта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области профессиональной деятельности.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профессионального стандарта</w:t>
            </w:r>
          </w:p>
        </w:tc>
      </w:tr>
      <w:tr>
        <w:tc>
          <w:tcPr>
            <w:gridSpan w:val="3"/>
            <w:tcW w:w="9070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r:id="rId3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31</w:t>
              </w:r>
            </w:hyperlink>
            <w:r>
              <w:rPr>
                <w:sz w:val="20"/>
              </w:rPr>
              <w:t xml:space="preserve"> Автомобилестроение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31.002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5" w:tooltip="Приказ Минтруда России от 30.10.2018 N 677н &quot;Об утверждении профессионального стандарта &quot;Специалист по мехатронике в автомобилестроении&quot; (Зарегистрировано в Минюсте России 20.11.2018 N 52736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31.004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6" w:tooltip="Приказ Минтруда России от 13.03.2017 N 275н &quot;Об утверждении профессионального стандарта &quot;Специалист по мехатронным системам автомобиля&quot; (Зарегистрировано в Минюсте России 04.04.2017 N 46238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31.007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7" w:tooltip="Приказ Минтруда России от 31.10.2018 N 681н &quot;Об утверждении профессионального стандарта &quot;Специалист по сборке агрегатов и автомобиля&quot; (Зарегистрировано в Минюсте России 22.11.2018 N 5275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8" w:tooltip="Приказ Минтруда России от 09.10.2014 N 678н (ред. от 12.12.2016) &quot;Об утверждении профессионального стандарта &quot;Специалист по продажам в автомобилестроении&quot; (Зарегистрировано в Минюсте России 13.11.2014 N 3468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31.012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39" w:tooltip="Приказ Минтруда России от 13.10.2014 N 707н (ред. от 12.12.2016) &quot;Об утверждении профессионального стандарта &quot;Специалист по исследованию и анализу рынка автомобилестроения&quot; (Зарегистрировано в Минюсте России 11.11.2014 N 3463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31.015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0" w:tooltip="Приказ Минтруда России от 14.10.2014 N 720н &quot;Об утверждении профессионального стандарта &quot;Специалист технологической подготовки производства в автомобилестроении&quot; (Зарегистрировано в Минюсте России 11.11.2014 N 3463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31.021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1" w:tooltip="Приказ Минтруда России от 01.03.2017 N 210н &quot;Об утверждении профессионального стандарта &quot;Специалист по испытаниям и исследованиям в автомобилестроении&quot; (Зарегистрировано в Минюсте России 15.03.2017 N 45969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>
        <w:tc>
          <w:tcPr>
            <w:gridSpan w:val="3"/>
            <w:tcW w:w="9070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r:id="rId42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33</w:t>
              </w:r>
            </w:hyperlink>
            <w:r>
              <w:rPr>
                <w:sz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33.005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3" w:tooltip="Приказ Минтруда России от 23.03.2015 N 187н &quot;Об утверждении профессионального стандарта &quot;Специалист по техническому диагностированию и контролю технического состояния автотранспортных средств при периодическом техническом осмотре&quot; (Зарегистрировано в Минюсте России 29.04.2015 N 37055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>
        <w:tc>
          <w:tcPr>
            <w:gridSpan w:val="3"/>
            <w:tcW w:w="9070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r:id="rId44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      <w:r>
                <w:rPr>
                  <w:sz w:val="20"/>
                  <w:color w:val="0000ff"/>
                </w:rPr>
                <w:t xml:space="preserve">40</w:t>
              </w:r>
            </w:hyperlink>
            <w:r>
              <w:rPr>
                <w:sz w:val="20"/>
              </w:rPr>
              <w:t xml:space="preserve"> Сквозные виды профессиональной деятельности в промышленности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40.009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5" w:tooltip="Приказ Минтруда России от 02.07.2019 N 466н &quot;Об утверждении профессионального стандарта &quot;Слесарь-сборщик радиоэлектронной аппаратуры и приборов&quot; (Зарегистрировано в Минюсте России 26.07.2019 N 5540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"Слесарь-сборщик радиоэлектронной аппаратуры и приборов", утвержденный приказом Министерства труда и социальной защиты Российской Федерации от 2 июля 2019 г. N 466н (зарегистрирован Министерством юстиции Российской Федерации 26 июля 2019 г., регистрационный N 55407)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40.048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6" w:tooltip="Приказ Минтруда России от 17.09.2014 N 646н (ред. от 12.12.2016) &quot;Об утверждении профессионального стандарта &quot;Слесарь-электрик&quot; (Зарегистрировано в Минюсте России 08.10.2014 N 3426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"Слесарь-электрик", утвержденный приказом Министерства труда и социальной защиты Российской Федерации от 17 сентября 2014 г. N 646н (зарегистрирован Министерством юстиции Российской Федерации 8 октября 2014 г., регистрационный N 34265),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40.053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7" w:tooltip="Приказ Минтруда России от 31.10.2014 N 864н &quot;Об утверждении профессионального стандарта &quot;Специалист по организации постпродажного обслуживания и сервиса&quot; (Зарегистрировано в Минюсте России 24.11.2014 N 34867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40.066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8" w:tooltip="Приказ Минтруда России от 22.12.2014 N 1068н (ред. от 12.12.2016) &quot;Об утверждении профессионального стандарта &quot;Рабочий по эмалированию, металлопокрытию и окраске&quot; (Зарегистрировано в Минюсте России 22.01.2015 N 3564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"Рабочий по эмалированию, металлопокрытию и окраске", утвержденный приказом Министерства труда и социальной защиты Российской Федерации от 22 декабря 2014 г. N 1068н (зарегистрирован Министерством юстиции Российской Федерации 22 января 2015 г., регистрационный N 35649),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40.084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Профессиональный </w:t>
            </w:r>
            <w:hyperlink w:history="0" r:id="rId49" w:tooltip="Приказ Минтруда России от 25.12.2014 N 1142н &quot;Об утверждении профессионального стандарта &quot;Специалист по организации сетей поставок машиностроительных организаций&quot; (Зарегистрировано в Минюсте России 04.02.2015 N 35868) {КонсультантПлюс}">
              <w:r>
                <w:rPr>
                  <w:sz w:val="20"/>
                  <w:color w:val="0000ff"/>
                </w:rPr>
                <w:t xml:space="preserve">стандарт</w:t>
              </w:r>
            </w:hyperlink>
            <w:r>
              <w:rPr>
                <w:sz w:val="20"/>
              </w:rP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07.08.2020 N 916</w:t>
            <w:br/>
            <w:t>(ред. от 27.02.2023)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385079&amp;dst=103315" TargetMode = "External"/>
	<Relationship Id="rId8" Type="http://schemas.openxmlformats.org/officeDocument/2006/relationships/hyperlink" Target="https://login.consultant.ru/link/?req=doc&amp;base=LAW&amp;n=428382&amp;dst=100625" TargetMode = "External"/>
	<Relationship Id="rId9" Type="http://schemas.openxmlformats.org/officeDocument/2006/relationships/hyperlink" Target="https://login.consultant.ru/link/?req=doc&amp;base=LAW&amp;n=443783&amp;dst=101374" TargetMode = "External"/>
	<Relationship Id="rId10" Type="http://schemas.openxmlformats.org/officeDocument/2006/relationships/hyperlink" Target="https://login.consultant.ru/link/?req=doc&amp;base=LAW&amp;n=458790&amp;dst=100059" TargetMode = "External"/>
	<Relationship Id="rId11" Type="http://schemas.openxmlformats.org/officeDocument/2006/relationships/hyperlink" Target="https://login.consultant.ru/link/?req=doc&amp;base=LAW&amp;n=399342&amp;dst=100072" TargetMode = "External"/>
	<Relationship Id="rId12" Type="http://schemas.openxmlformats.org/officeDocument/2006/relationships/hyperlink" Target="https://login.consultant.ru/link/?req=doc&amp;base=LAW&amp;n=198472&amp;dst=100014" TargetMode = "External"/>
	<Relationship Id="rId13" Type="http://schemas.openxmlformats.org/officeDocument/2006/relationships/hyperlink" Target="https://login.consultant.ru/link/?req=doc&amp;base=LAW&amp;n=385079&amp;dst=103315" TargetMode = "External"/>
	<Relationship Id="rId14" Type="http://schemas.openxmlformats.org/officeDocument/2006/relationships/hyperlink" Target="https://login.consultant.ru/link/?req=doc&amp;base=LAW&amp;n=428382&amp;dst=100625" TargetMode = "External"/>
	<Relationship Id="rId15" Type="http://schemas.openxmlformats.org/officeDocument/2006/relationships/hyperlink" Target="https://login.consultant.ru/link/?req=doc&amp;base=LAW&amp;n=443783&amp;dst=101374" TargetMode = "External"/>
	<Relationship Id="rId16" Type="http://schemas.openxmlformats.org/officeDocument/2006/relationships/hyperlink" Target="https://login.consultant.ru/link/?req=doc&amp;base=LAW&amp;n=437409&amp;dst=100249" TargetMode = "External"/>
	<Relationship Id="rId17" Type="http://schemas.openxmlformats.org/officeDocument/2006/relationships/hyperlink" Target="https://login.consultant.ru/link/?req=doc&amp;base=LAW&amp;n=214720&amp;dst=100047" TargetMode = "External"/>
	<Relationship Id="rId18" Type="http://schemas.openxmlformats.org/officeDocument/2006/relationships/hyperlink" Target="https://login.consultant.ru/link/?req=doc&amp;base=LAW&amp;n=214720&amp;dst=100050" TargetMode = "External"/>
	<Relationship Id="rId19" Type="http://schemas.openxmlformats.org/officeDocument/2006/relationships/hyperlink" Target="https://login.consultant.ru/link/?req=doc&amp;base=LAW&amp;n=214720&amp;dst=100074" TargetMode = "External"/>
	<Relationship Id="rId20" Type="http://schemas.openxmlformats.org/officeDocument/2006/relationships/hyperlink" Target="https://login.consultant.ru/link/?req=doc&amp;base=LAW&amp;n=214720&amp;dst=100076" TargetMode = "External"/>
	<Relationship Id="rId21" Type="http://schemas.openxmlformats.org/officeDocument/2006/relationships/hyperlink" Target="https://login.consultant.ru/link/?req=doc&amp;base=LAW&amp;n=214720&amp;dst=100080" TargetMode = "External"/>
	<Relationship Id="rId22" Type="http://schemas.openxmlformats.org/officeDocument/2006/relationships/hyperlink" Target="https://login.consultant.ru/link/?req=doc&amp;base=LAW&amp;n=214720&amp;dst=100082" TargetMode = "External"/>
	<Relationship Id="rId23" Type="http://schemas.openxmlformats.org/officeDocument/2006/relationships/hyperlink" Target="https://login.consultant.ru/link/?req=doc&amp;base=LAW&amp;n=214720&amp;dst=100110" TargetMode = "External"/>
	<Relationship Id="rId24" Type="http://schemas.openxmlformats.org/officeDocument/2006/relationships/hyperlink" Target="https://login.consultant.ru/link/?req=doc&amp;base=LAW&amp;n=214720&amp;dst=100114" TargetMode = "External"/>
	<Relationship Id="rId25" Type="http://schemas.openxmlformats.org/officeDocument/2006/relationships/hyperlink" Target="https://login.consultant.ru/link/?req=doc&amp;base=LAW&amp;n=214720&amp;dst=100116" TargetMode = "External"/>
	<Relationship Id="rId26" Type="http://schemas.openxmlformats.org/officeDocument/2006/relationships/hyperlink" Target="https://login.consultant.ru/link/?req=doc&amp;base=LAW&amp;n=428382&amp;dst=100625" TargetMode = "External"/>
	<Relationship Id="rId27" Type="http://schemas.openxmlformats.org/officeDocument/2006/relationships/hyperlink" Target="https://login.consultant.ru/link/?req=doc&amp;base=LAW&amp;n=443783&amp;dst=101374" TargetMode = "External"/>
	<Relationship Id="rId28" Type="http://schemas.openxmlformats.org/officeDocument/2006/relationships/hyperlink" Target="https://login.consultant.ru/link/?req=doc&amp;base=LAW&amp;n=385079&amp;dst=103315" TargetMode = "External"/>
	<Relationship Id="rId29" Type="http://schemas.openxmlformats.org/officeDocument/2006/relationships/hyperlink" Target="https://login.consultant.ru/link/?req=doc&amp;base=LAW&amp;n=214720&amp;dst=100006" TargetMode = "External"/>
	<Relationship Id="rId30" Type="http://schemas.openxmlformats.org/officeDocument/2006/relationships/hyperlink" Target="https://login.consultant.ru/link/?req=doc&amp;base=LAW&amp;n=146970" TargetMode = "External"/>
	<Relationship Id="rId31" Type="http://schemas.openxmlformats.org/officeDocument/2006/relationships/hyperlink" Target="https://login.consultant.ru/link/?req=doc&amp;base=LAW&amp;n=453479" TargetMode = "External"/>
	<Relationship Id="rId32" Type="http://schemas.openxmlformats.org/officeDocument/2006/relationships/hyperlink" Target="https://login.consultant.ru/link/?req=doc&amp;base=LAW&amp;n=439201" TargetMode = "External"/>
	<Relationship Id="rId33" Type="http://schemas.openxmlformats.org/officeDocument/2006/relationships/hyperlink" Target="https://login.consultant.ru/link/?req=doc&amp;base=LAW&amp;n=447397&amp;dst=100947" TargetMode = "External"/>
	<Relationship Id="rId34" Type="http://schemas.openxmlformats.org/officeDocument/2006/relationships/hyperlink" Target="https://login.consultant.ru/link/?req=doc&amp;base=LAW&amp;n=214720&amp;dst=100110" TargetMode = "External"/>
	<Relationship Id="rId35" Type="http://schemas.openxmlformats.org/officeDocument/2006/relationships/hyperlink" Target="https://login.consultant.ru/link/?req=doc&amp;base=LAW&amp;n=311652&amp;dst=100010" TargetMode = "External"/>
	<Relationship Id="rId36" Type="http://schemas.openxmlformats.org/officeDocument/2006/relationships/hyperlink" Target="https://login.consultant.ru/link/?req=doc&amp;base=LAW&amp;n=215375&amp;dst=100010" TargetMode = "External"/>
	<Relationship Id="rId37" Type="http://schemas.openxmlformats.org/officeDocument/2006/relationships/hyperlink" Target="https://login.consultant.ru/link/?req=doc&amp;base=LAW&amp;n=311743&amp;dst=100010" TargetMode = "External"/>
	<Relationship Id="rId38" Type="http://schemas.openxmlformats.org/officeDocument/2006/relationships/hyperlink" Target="https://login.consultant.ru/link/?req=doc&amp;base=LAW&amp;n=211627&amp;dst=100009" TargetMode = "External"/>
	<Relationship Id="rId39" Type="http://schemas.openxmlformats.org/officeDocument/2006/relationships/hyperlink" Target="https://login.consultant.ru/link/?req=doc&amp;base=LAW&amp;n=211647&amp;dst=100009" TargetMode = "External"/>
	<Relationship Id="rId40" Type="http://schemas.openxmlformats.org/officeDocument/2006/relationships/hyperlink" Target="https://login.consultant.ru/link/?req=doc&amp;base=LAW&amp;n=150114&amp;dst=100009" TargetMode = "External"/>
	<Relationship Id="rId41" Type="http://schemas.openxmlformats.org/officeDocument/2006/relationships/hyperlink" Target="https://login.consultant.ru/link/?req=doc&amp;base=LAW&amp;n=214154&amp;dst=100009" TargetMode = "External"/>
	<Relationship Id="rId42" Type="http://schemas.openxmlformats.org/officeDocument/2006/relationships/hyperlink" Target="https://login.consultant.ru/link/?req=doc&amp;base=LAW&amp;n=214720&amp;dst=100114" TargetMode = "External"/>
	<Relationship Id="rId43" Type="http://schemas.openxmlformats.org/officeDocument/2006/relationships/hyperlink" Target="https://login.consultant.ru/link/?req=doc&amp;base=LAW&amp;n=179227&amp;dst=100009" TargetMode = "External"/>
	<Relationship Id="rId44" Type="http://schemas.openxmlformats.org/officeDocument/2006/relationships/hyperlink" Target="https://login.consultant.ru/link/?req=doc&amp;base=LAW&amp;n=214720&amp;dst=100116" TargetMode = "External"/>
	<Relationship Id="rId45" Type="http://schemas.openxmlformats.org/officeDocument/2006/relationships/hyperlink" Target="https://login.consultant.ru/link/?req=doc&amp;base=LAW&amp;n=330340&amp;dst=100012" TargetMode = "External"/>
	<Relationship Id="rId46" Type="http://schemas.openxmlformats.org/officeDocument/2006/relationships/hyperlink" Target="https://login.consultant.ru/link/?req=doc&amp;base=LAW&amp;n=211654&amp;dst=100009" TargetMode = "External"/>
	<Relationship Id="rId47" Type="http://schemas.openxmlformats.org/officeDocument/2006/relationships/hyperlink" Target="https://login.consultant.ru/link/?req=doc&amp;base=LAW&amp;n=126647&amp;dst=100010" TargetMode = "External"/>
	<Relationship Id="rId48" Type="http://schemas.openxmlformats.org/officeDocument/2006/relationships/hyperlink" Target="https://login.consultant.ru/link/?req=doc&amp;base=LAW&amp;n=211498&amp;dst=100009" TargetMode = "External"/>
	<Relationship Id="rId49" Type="http://schemas.openxmlformats.org/officeDocument/2006/relationships/hyperlink" Target="https://login.consultant.ru/link/?req=doc&amp;base=LAW&amp;n=133648&amp;dst=100009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07.08.2020 N 916
(ред. от 27.02.2023)
"Об утверждении федерального государственного образовательного стандарта высшего образования - бакалавриат по направлению подготовки 23.03.03 Эксплуатация транспортно-технологических машин и комплексов"
(Зарегистрировано в Минюсте России 24.08.2020 N 59405)</dc:title>
  <dcterms:created xsi:type="dcterms:W3CDTF">2023-11-08T05:10:46Z</dcterms:created>
</cp:coreProperties>
</file>