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12.08.2020 N 987</w:t>
              <w:br/>
              <w:t xml:space="preserve">(ред. от 27.02.2023)</w:t>
              <w:br/>
              <w:t xml:space="preserve">"Об утверждении федерального государственного образовательного стандарта высшего образования - специалитет по специальности 21.05.04 Горное дело"</w:t>
              <w:br/>
              <w:t xml:space="preserve">(Зарегистрировано в Минюсте России 26.08.2020 N 59490)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августа 2020 г. N 59490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августа 2020 г. N 987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</w:t>
      </w:r>
    </w:p>
    <w:p>
      <w:pPr>
        <w:pStyle w:val="2"/>
        <w:jc w:val="center"/>
      </w:pPr>
      <w:r>
        <w:rPr>
          <w:sz w:val="20"/>
        </w:rPr>
        <w:t xml:space="preserve">СТАНДАРТА ВЫСШЕГО ОБРАЗОВАНИЯ - СПЕЦИАЛИТЕТ</w:t>
      </w:r>
    </w:p>
    <w:p>
      <w:pPr>
        <w:pStyle w:val="2"/>
        <w:jc w:val="center"/>
      </w:pPr>
      <w:r>
        <w:rPr>
          <w:sz w:val="20"/>
        </w:rPr>
        <w:t xml:space="preserve">ПО СПЕЦИАЛЬНОСТИ 21.05.04 ГОРНОЕ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26.11.2020 </w:t>
            </w:r>
            <w:hyperlink w:history="0" r:id="rId7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      <w:r>
                <w:rPr>
                  <w:sz w:val="20"/>
                  <w:color w:val="0000ff"/>
                </w:rPr>
                <w:t xml:space="preserve">N 1456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8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9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4.2.38 пункта 4.2</w:t>
        </w:r>
      </w:hyperlink>
      <w:r>
        <w:rPr>
          <w:sz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w:history="0" r:id="rId11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высшего образования - специалитет по специальности 21.05.04 Горное дело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высшего образования вправе осуществлять в соответствии со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12" w:tooltip="Приказ Минобрнауки России от 17.10.2016 N 1298 &quot;Об утверждении федерального государственного образовательного стандарта высшего образования по специальности 21.05.04 Горное дело (уровень специалитета)&quot; (Зарегистрировано в Минюсте России 10.11.2016 N 4429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высшего образования по специальности 21.05.04 Горное дело (уровень специалитета), утвержденным приказом Министерства образования и науки Российской Федерации от 17 октября 2016 г. N 1298 (зарегистрирован Министерством юстиции Российской Федерации 10 ноября 2016 г., регистрационный N 44291), прекращается 31 декабря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А.В.НАРУКАВНИКОВ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августа 2020 г. N 987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ВЫСШЕГО ОБРАЗОВАНИЯ - СПЕЦИАЛИТЕТ ПО СПЕЦИАЛЬНОСТИ</w:t>
      </w:r>
    </w:p>
    <w:p>
      <w:pPr>
        <w:pStyle w:val="2"/>
        <w:jc w:val="center"/>
      </w:pPr>
      <w:r>
        <w:rPr>
          <w:sz w:val="20"/>
        </w:rPr>
        <w:t xml:space="preserve">21.05.04 ГОРНОЕ ДЕЛО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26.11.2020 </w:t>
            </w:r>
            <w:hyperlink w:history="0" r:id="rId13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      <w:r>
                <w:rPr>
                  <w:sz w:val="20"/>
                  <w:color w:val="0000ff"/>
                </w:rPr>
                <w:t xml:space="preserve">N 1456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14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5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21.05.04 Горное дело (далее соответственно - программа специалитета, специальность).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Обучение по программе специалитета в Организации может осуществляться в очной, очно-заочной и заочной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специалитета с применением исключительно электронного обучения, дистанционных образовательных технологий не допускается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3 статьи 16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программы специалитета осуществляется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1.8. Срок получения образования по программе специалитета (вне зависимости от применяемых образовательных технологий):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5,5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Организация самостоятельно определяет в пределах сроков и объемов, установленных </w:t>
      </w:r>
      <w:hyperlink w:history="0" w:anchor="P64" w:tooltip="1.8. Срок получения образования по программе специалитета (вне зависимости от применяемых образовательных технологий):">
        <w:r>
          <w:rPr>
            <w:sz w:val="20"/>
            <w:color w:val="0000ff"/>
          </w:rPr>
          <w:t xml:space="preserve">пунктами 1.8</w:t>
        </w:r>
      </w:hyperlink>
      <w:r>
        <w:rPr>
          <w:sz w:val="20"/>
        </w:rPr>
        <w:t xml:space="preserve"> и </w:t>
      </w:r>
      <w:hyperlink w:history="0" w:anchor="P68" w:tooltip="1.9. 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">
        <w:r>
          <w:rPr>
            <w:sz w:val="20"/>
            <w:color w:val="0000ff"/>
          </w:rPr>
          <w:t xml:space="preserve">1.9</w:t>
        </w:r>
      </w:hyperlink>
      <w:r>
        <w:rPr>
          <w:sz w:val="20"/>
        </w:rPr>
        <w:t xml:space="preserve"> ФГОС 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программы специалитета, реализуемый за один учебный год.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 (в сферах: реализации основных профессиональных образовательных программ и дополнительных образовательных программ; научных исследований и проведения научно-исследовательских и опытно-конструкторских работ);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08</w:t>
        </w:r>
      </w:hyperlink>
      <w:r>
        <w:rPr>
          <w:sz w:val="20"/>
        </w:rPr>
        <w:t xml:space="preserve"> Финансы и экономика (в сферах: геолого-промышленной оценки запасов месторождений твердых полезных ископаемых и горных отводов; проведения экономического анализа затрат на реализацию технологических процессов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Архитектура, проектирование, геодезия, топография и дизайн (в сфере инженерно-геодезического, инженерно-технического и экспертного обеспечения освоения подземного пространства при реализации градостроительной политики);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 (в сфере проектирования, строительства и эксплуатации подземных объектов, инженерных комплексов и систем их жизнеобеспечения);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Добыча, переработка угля, руд и других полезных ископаемых (в сфере добычи и переработки твердых полезных ископаемых, строительства и эксплуатации подземных объектов);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Электроэнергетика (в сфере проектирования и безопасной эксплуатации электротехнических объектов, комплексов и систем при добыче и переработке твердых полезных ископаемых, строительстве и эксплуатации подземных объектов);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Производство машин и оборудования (в сфере проектирования, производства и безопасной эксплуатации горных машин и оборудования);</w:t>
      </w:r>
    </w:p>
    <w:p>
      <w:pPr>
        <w:pStyle w:val="0"/>
        <w:spacing w:before="200" w:line-rule="auto"/>
        <w:ind w:firstLine="540"/>
        <w:jc w:val="both"/>
      </w:pPr>
      <w:hyperlink w:history="0" r:id="rId2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(в сферах: обеспечения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 проектирования и эксплуатации инженерно-технических систем обеспечения технологических процессов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 управления и планирования производственными процессами и организациями).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проектно-изыскательский;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производственно-технологический;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организационно-управленческий.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область (области) профессиональной деятельности и сферу (сферы) профессиональной деятельности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(типы) задач и задачи профессиональной деятельности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- на объекты профессиональной деятельности выпускников или область (области) знания.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программы специалитета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программы специалитета включает следующие блоки:</w:t>
      </w:r>
    </w:p>
    <w:p>
      <w:pPr>
        <w:pStyle w:val="0"/>
        <w:spacing w:before="200" w:line-rule="auto"/>
        <w:ind w:firstLine="540"/>
        <w:jc w:val="both"/>
      </w:pPr>
      <w:hyperlink w:history="0" w:anchor="P111" w:tooltip="Блок 1">
        <w:r>
          <w:rPr>
            <w:sz w:val="20"/>
            <w:color w:val="0000ff"/>
          </w:rPr>
          <w:t xml:space="preserve">Блок 1</w:t>
        </w:r>
      </w:hyperlink>
      <w:r>
        <w:rPr>
          <w:sz w:val="20"/>
        </w:rPr>
        <w:t xml:space="preserve"> "Дисциплины (модули)";</w:t>
      </w:r>
    </w:p>
    <w:p>
      <w:pPr>
        <w:pStyle w:val="0"/>
        <w:spacing w:before="200" w:line-rule="auto"/>
        <w:ind w:firstLine="540"/>
        <w:jc w:val="both"/>
      </w:pPr>
      <w:hyperlink w:history="0" w:anchor="P114" w:tooltip="Блок 2">
        <w:r>
          <w:rPr>
            <w:sz w:val="20"/>
            <w:color w:val="0000ff"/>
          </w:rPr>
          <w:t xml:space="preserve">Блок 2</w:t>
        </w:r>
      </w:hyperlink>
      <w:r>
        <w:rPr>
          <w:sz w:val="20"/>
        </w:rPr>
        <w:t xml:space="preserve"> "Практика";</w:t>
      </w:r>
    </w:p>
    <w:p>
      <w:pPr>
        <w:pStyle w:val="0"/>
        <w:spacing w:before="200" w:line-rule="auto"/>
        <w:ind w:firstLine="540"/>
        <w:jc w:val="both"/>
      </w:pPr>
      <w:hyperlink w:history="0" w:anchor="P117" w:tooltip="Блок 3">
        <w:r>
          <w:rPr>
            <w:sz w:val="20"/>
            <w:color w:val="0000ff"/>
          </w:rPr>
          <w:t xml:space="preserve">Блок 3</w:t>
        </w:r>
      </w:hyperlink>
      <w:r>
        <w:rPr>
          <w:sz w:val="20"/>
        </w:rPr>
        <w:t xml:space="preserve"> "Государственная итоговая аттестация".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и объем программы специалитета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912"/>
        <w:gridCol w:w="3874"/>
      </w:tblGrid>
      <w:tr>
        <w:tc>
          <w:tcPr>
            <w:gridSpan w:val="2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программы специалитета</w:t>
            </w:r>
          </w:p>
        </w:tc>
        <w:tc>
          <w:tcPr>
            <w:tcW w:w="3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программы специалитета и ее блоков в з.е.</w:t>
            </w:r>
          </w:p>
        </w:tc>
      </w:tr>
      <w:tr>
        <w:tc>
          <w:tcPr>
            <w:tcW w:w="1247" w:type="dxa"/>
          </w:tcPr>
          <w:bookmarkStart w:id="111" w:name="P111"/>
          <w:bookmarkEnd w:id="111"/>
          <w:p>
            <w:pPr>
              <w:pStyle w:val="0"/>
              <w:jc w:val="center"/>
            </w:pPr>
            <w:r>
              <w:rPr>
                <w:sz w:val="20"/>
              </w:rPr>
              <w:t xml:space="preserve">Блок 1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8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260</w:t>
            </w:r>
          </w:p>
        </w:tc>
      </w:tr>
      <w:tr>
        <w:tc>
          <w:tcPr>
            <w:tcW w:w="1247" w:type="dxa"/>
          </w:tcPr>
          <w:bookmarkStart w:id="114" w:name="P114"/>
          <w:bookmarkEnd w:id="114"/>
          <w:p>
            <w:pPr>
              <w:pStyle w:val="0"/>
              <w:jc w:val="center"/>
            </w:pPr>
            <w:r>
              <w:rPr>
                <w:sz w:val="20"/>
              </w:rPr>
              <w:t xml:space="preserve">Блок 2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8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</w:t>
            </w:r>
          </w:p>
        </w:tc>
      </w:tr>
      <w:tr>
        <w:tc>
          <w:tcPr>
            <w:tcW w:w="1247" w:type="dxa"/>
          </w:tcPr>
          <w:bookmarkStart w:id="117" w:name="P117"/>
          <w:bookmarkEnd w:id="117"/>
          <w:p>
            <w:pPr>
              <w:pStyle w:val="0"/>
              <w:jc w:val="center"/>
            </w:pPr>
            <w:r>
              <w:rPr>
                <w:sz w:val="20"/>
              </w:rPr>
              <w:t xml:space="preserve">Блок 3</w:t>
            </w:r>
          </w:p>
        </w:tc>
        <w:tc>
          <w:tcPr>
            <w:tcW w:w="391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</w:t>
            </w:r>
          </w:p>
        </w:tc>
      </w:tr>
      <w:tr>
        <w:tc>
          <w:tcPr>
            <w:gridSpan w:val="2"/>
            <w:tcW w:w="5159" w:type="dxa"/>
            <w:vAlign w:val="center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Объем программы специалитета</w:t>
            </w:r>
          </w:p>
        </w:tc>
        <w:tc>
          <w:tcPr>
            <w:tcW w:w="38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0"/>
        <w:ind w:firstLine="540"/>
        <w:jc w:val="both"/>
      </w:pPr>
      <w:r>
        <w:rPr>
          <w:sz w:val="20"/>
        </w:rPr>
        <w:t xml:space="preserve">2.2. Программа специалитета в рамках </w:t>
      </w:r>
      <w:hyperlink w:history="0" w:anchor="P111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дисциплин (модулей) по философии, иностранному языку,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7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19.07.2022 N 662)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Программа специалитета должна обеспечивать реализацию дисциплин (модулей) по физической культуре и спорту: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не менее 2 з.е. в рамках </w:t>
      </w:r>
      <w:hyperlink w:history="0" w:anchor="P111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</w:t>
      </w:r>
      <w:hyperlink w:history="0" w:anchor="P114" w:tooltip="Блок 2">
        <w:r>
          <w:rPr>
            <w:sz w:val="20"/>
            <w:color w:val="0000ff"/>
          </w:rPr>
          <w:t xml:space="preserve">Блок 2</w:t>
        </w:r>
      </w:hyperlink>
      <w:r>
        <w:rPr>
          <w:sz w:val="20"/>
        </w:rPr>
        <w:t xml:space="preserve"> "Практика" входят учебная и производственная практики (далее вместе - практики).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учебной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ознакомительная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геологическая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производственной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производственно-технологическая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проектно-технологическая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научно-исследовательская работа.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дополнение к типам практик, указанным в </w:t>
      </w:r>
      <w:hyperlink w:history="0" w:anchor="P131" w:tooltip="2.4. В Блок 2 &quot;Практика&quot; входят учебная и производственная практики (далее вместе - практики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ВО, ПООП может также содержать рекомендуемые типы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history="0" w:anchor="P131" w:tooltip="2.4. В Блок 2 &quot;Практика&quot; входят учебная и производственная практики (далее вместе - практики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выбрать один или несколько типов учебной практики и (или) производственной практики из рекомендуемых ПООП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установить дополнительный тип (типы) учебной и (или) производственной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объемы практик каждого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</w:t>
      </w:r>
      <w:hyperlink w:history="0" w:anchor="P117" w:tooltip="Блок 3">
        <w:r>
          <w:rPr>
            <w:sz w:val="20"/>
            <w:color w:val="0000ff"/>
          </w:rPr>
          <w:t xml:space="preserve">Блок 3</w:t>
        </w:r>
      </w:hyperlink>
      <w:r>
        <w:rPr>
          <w:sz w:val="20"/>
        </w:rPr>
        <w:t xml:space="preserve"> "Государственная итоговая аттестация"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выполнение, подготовка к процедуре защиты и защита выпускной квалификационной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Факультативные дисциплины (модули) не включаются в объем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рамках программы специалитета выделяются обязательная часть и часть, формируемая участниками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обязательную часть программы специалитета включаются,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(модули), указанные в </w:t>
      </w:r>
      <w:hyperlink w:history="0" w:anchor="P123" w:tooltip="2.2. Программа специалитета в рамках Блока 1 &quot;Дисциплины (модули)&quot; должна обеспечивать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ФГОС 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по физической культуре и спорту, реализуемые в рамках </w:t>
      </w:r>
      <w:hyperlink w:history="0" w:anchor="P111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менее 50 процентов общего объема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программы специалитета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Программа специалитета должна устанавливать следующие универсальные компетенции: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и наименование универсальной компетенции выпускника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Системное и критическое мышление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проектов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УК-2. Способен управлять проектом на всех этапах его жизненного цикла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Командная работа и лидерство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Коммуникация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Межкультурное взаимодействие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УК-5.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c>
          <w:tcPr>
            <w:tcW w:w="260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Самоорганизация и саморазвитие (в том числе здоровьесбережение)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Инклюзивная компетентность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УК-9. Способен использовать базовые дефектологические знания в социальной и профессиональной сферах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культура, в том числе финансовая грамотность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принимать обоснованные экономические решения в различных областях жизнедеятельности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27.02.2023 N 208)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Программа специалитета должна устанавливать следующие общепрофессиональные компетенции: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категории (группы) общепрофессиональных компетенций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и наименование общепрофессиональной компетенции выпускника</w:t>
            </w:r>
          </w:p>
        </w:tc>
      </w:tr>
      <w:tr>
        <w:tc>
          <w:tcPr>
            <w:tcW w:w="260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Применение фундаментальных знаний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ОПК-1. Способен применять законодательные основы в областях недропользования, обеспечения экологической и промышленной безопасности при поисках, разведке и разработке месторождений твердых полезных ископаемых, строительстве и эксплуатации подземных объектов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ОПК-2. Способен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      </w:r>
          </w:p>
        </w:tc>
      </w:tr>
      <w:tr>
        <w:tblPrEx>
          <w:tblBorders>
            <w:left w:val="nil"/>
          </w:tblBorders>
        </w:tblPrEx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ОПК-3. Способен применять методы геолого-промышленной оценки месторождений твердых полезных ископаемых, горных отводов</w:t>
            </w:r>
          </w:p>
        </w:tc>
      </w:tr>
      <w:tr>
        <w:tblPrEx>
          <w:tblBorders>
            <w:left w:val="nil"/>
          </w:tblBorders>
        </w:tblPrEx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ОПК-4. Способен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</w:t>
            </w:r>
          </w:p>
        </w:tc>
      </w:tr>
      <w:tr>
        <w:tblPrEx>
          <w:tblBorders>
            <w:left w:val="nil"/>
          </w:tblBorders>
        </w:tblPrEx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ОПК-5. Способен применять методы анализа, знания закономерностей поведения, управления свойствами горных пород и состоянием массива в процессах добычи и переработки полезных ископаемых, а также при строительстве и эксплуатации подземных объектов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ОПК-6.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ОПК-7. Способен применять санитарно-гигиенические нормативы и правила при поисках, разведке и разработке месторождений твердых полезных ископаемых, строительстве и эксплуатации подземных объектов</w:t>
            </w:r>
          </w:p>
        </w:tc>
      </w:tr>
      <w:tr>
        <w:tc>
          <w:tcPr>
            <w:tcW w:w="260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проектирование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ОПК-8 Способен работать с программным обеспечением общего, специального назначения и моделирования горных и геологических объектов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ОПК-9. 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ОПК-10.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ОПК-11. 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ОПК-12. 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ОПК-13. Способен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ОПК-14.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ОПК-15. 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горностроительных и взрывных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ОПК-16.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ОПК-17. 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</w:tr>
      <w:tr>
        <w:tc>
          <w:tcPr>
            <w:tcW w:w="260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Исследование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ОПК-18. Способен участвовать в исследованиях объектов профессиональной деятельности и их структурных элементов</w:t>
            </w:r>
          </w:p>
        </w:tc>
      </w:tr>
      <w:tr>
        <w:tc>
          <w:tcPr>
            <w:vMerge w:val="continue"/>
          </w:tcPr>
          <w:p/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ОПК-19.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</w:tr>
      <w:tr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Интеграция науки и образования</w:t>
            </w:r>
          </w:p>
        </w:tc>
        <w:tc>
          <w:tcPr>
            <w:tcW w:w="646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ОПК-20.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2608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Информационно-коммуникационные технологии для профессиональной деятельности</w:t>
            </w:r>
          </w:p>
        </w:tc>
        <w:tc>
          <w:tcPr>
            <w:tcW w:w="6463" w:type="dxa"/>
            <w:vAlign w:val="center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ОПК-21.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9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Минобрнауки России от 26.11.2020 N 1456)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history="0" w:anchor="P301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r>
        <w:rPr>
          <w:sz w:val="20"/>
        </w:rPr>
        <w:t xml:space="preserve">http://profstandart.rosmintrud.ru</w:t>
      </w:r>
      <w:r>
        <w:rPr>
          <w:sz w:val="20"/>
        </w:rPr>
        <w:t xml:space="preserve">) &lt;4&gt; (при наличии соответствующих профессиональных стандартов).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1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history="0" w:anchor="P73" w:tooltip="1.11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">
        <w:r>
          <w:rPr>
            <w:sz w:val="20"/>
            <w:color w:val="0000ff"/>
          </w:rPr>
          <w:t xml:space="preserve">пунктом 1.11</w:t>
        </w:r>
      </w:hyperlink>
      <w:r>
        <w:rPr>
          <w:sz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history="0" w:anchor="P86" w:tooltip="1.12. В рамках освоения программы специалитета выпускники могут готовиться к решению задач профессиональной деятельности следующих типов:">
        <w:r>
          <w:rPr>
            <w:sz w:val="20"/>
            <w:color w:val="0000ff"/>
          </w:rPr>
          <w:t xml:space="preserve">пунктом 1.12</w:t>
        </w:r>
      </w:hyperlink>
      <w:r>
        <w:rPr>
          <w:sz w:val="20"/>
        </w:rPr>
        <w:t xml:space="preserve">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Организация устанавливает в программе специалитета индикаторы достижения компетенций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программы специалитета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4.2. Общесистемные требования к реализации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history="0" w:anchor="P111" w:tooltip="Блок 1">
        <w:r>
          <w:rPr>
            <w:sz w:val="20"/>
            <w:color w:val="0000ff"/>
          </w:rPr>
          <w:t xml:space="preserve">Блоку 1</w:t>
        </w:r>
      </w:hyperlink>
      <w:r>
        <w:rPr>
          <w:sz w:val="20"/>
        </w:rPr>
        <w:t xml:space="preserve"> "Дисциплины (модули)" и </w:t>
      </w:r>
      <w:hyperlink w:history="0" w:anchor="P117" w:tooltip="Блок 3">
        <w:r>
          <w:rPr>
            <w:sz w:val="20"/>
            <w:color w:val="0000ff"/>
          </w:rPr>
          <w:t xml:space="preserve">Блоку 3</w:t>
        </w:r>
      </w:hyperlink>
      <w:r>
        <w:rPr>
          <w:sz w:val="20"/>
        </w:rPr>
        <w:t xml:space="preserve"> "Государственная итоговая аттестация" в соответствии с учебным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Электронная информационно-образовательная среда Организации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электронного портфолио обучающегося, в том числе сохранение его работ и оценок за эти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фиксацию хода образовательного процесса, результатов промежуточной аттестации и результатов освоения программы специалитета;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32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w:history="0" r:id="rId3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Требования к материально-техническому и учебно-методическому обеспечению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замена оборудования его виртуальными аналогами.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кадровым условиям реализации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финансовым условиям реализации программы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4" w:tooltip="Постановление Правительства РФ от 26.06.2015 N 640 (ред. от 16.05.2023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 высшего</w:t>
      </w:r>
    </w:p>
    <w:p>
      <w:pPr>
        <w:pStyle w:val="0"/>
        <w:jc w:val="right"/>
      </w:pPr>
      <w:r>
        <w:rPr>
          <w:sz w:val="20"/>
        </w:rPr>
        <w:t xml:space="preserve">образования - специалитет</w:t>
      </w:r>
    </w:p>
    <w:p>
      <w:pPr>
        <w:pStyle w:val="0"/>
        <w:jc w:val="right"/>
      </w:pPr>
      <w:r>
        <w:rPr>
          <w:sz w:val="20"/>
        </w:rPr>
        <w:t xml:space="preserve">по специальности 21.05.04</w:t>
      </w:r>
    </w:p>
    <w:p>
      <w:pPr>
        <w:pStyle w:val="0"/>
        <w:jc w:val="right"/>
      </w:pPr>
      <w:r>
        <w:rPr>
          <w:sz w:val="20"/>
        </w:rPr>
        <w:t xml:space="preserve">Горное дело,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науки и высшего</w:t>
      </w:r>
    </w:p>
    <w:p>
      <w:pPr>
        <w:pStyle w:val="0"/>
        <w:jc w:val="right"/>
      </w:pPr>
      <w:r>
        <w:rPr>
          <w:sz w:val="20"/>
        </w:rPr>
        <w:t xml:space="preserve">образования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августа 2020 г. N 987</w:t>
      </w:r>
    </w:p>
    <w:p>
      <w:pPr>
        <w:pStyle w:val="0"/>
        <w:jc w:val="both"/>
      </w:pPr>
      <w:r>
        <w:rPr>
          <w:sz w:val="20"/>
        </w:rPr>
      </w:r>
    </w:p>
    <w:bookmarkStart w:id="301" w:name="P301"/>
    <w:bookmarkEnd w:id="30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ВЫПУСКНИКОВ, ОСВОИВШИХ</w:t>
      </w:r>
    </w:p>
    <w:p>
      <w:pPr>
        <w:pStyle w:val="2"/>
        <w:jc w:val="center"/>
      </w:pPr>
      <w:r>
        <w:rPr>
          <w:sz w:val="20"/>
        </w:rPr>
        <w:t xml:space="preserve">ПРОГРАММУ СПЕЦИАЛИТЕТА ПО СПЕЦИАЛЬНОСТИ 21.05.04</w:t>
      </w:r>
    </w:p>
    <w:p>
      <w:pPr>
        <w:pStyle w:val="2"/>
        <w:jc w:val="center"/>
      </w:pPr>
      <w:r>
        <w:rPr>
          <w:sz w:val="20"/>
        </w:rPr>
        <w:t xml:space="preserve">ГОРНОЕ ДЕЛО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8"/>
        <w:gridCol w:w="1587"/>
        <w:gridCol w:w="6803"/>
      </w:tblGrid>
      <w:tr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области профессиональной деятельности. Наименование профессионального стандарта</w:t>
            </w:r>
          </w:p>
        </w:tc>
      </w:tr>
      <w:tr>
        <w:tc>
          <w:tcPr>
            <w:gridSpan w:val="3"/>
            <w:tcW w:w="902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10 Архитектура, проектирование, геодезия, топография и дизайн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10.002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5" w:tooltip="Приказ Минтруда России от 25.12.2018 N 841н &quot;Об утверждении профессионального стандарта &quot;Специалист в области инженерно-геодезических изысканий&quot; (Зарегистрировано в Минюсте России 21.01.2019 N 5346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25 декабря 2018 г. N 841н (зарегистрирован Министерством юстиции Российской Федерации 21 января 2019 г., регистрационный N 53468)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10.003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6" w:tooltip="Приказ Минтруда России от 28.12.2015 N 1167н (ред. от 31.10.2016) &quot;Об утверждении профессионального стандарта &quot;Специалист в области инженерно-технического проектирования для градостроительной деятельности&quot; (Зарегистрировано в Минюсте России 28.01.2016 N 4083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изменением, внесенным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г., регистрационный N 44446)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10.004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7" w:tooltip="Приказ Минтруда России от 30.05.2016 N 264н &quot;Об утверждении профессионального стандарта &quot;Специалист в области оценки качества и экспертизы для градостроительной деятельности&quot; (Зарегистрировано в Минюсте России 21.06.2016 N 4258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2016 г. N 264н (зарегистрирован Министерством юстиции Российской Федерации 21 июня 2016 г., регистрационный N 42581)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10.006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8" w:tooltip="Приказ Минтруда России от 17.03.2016 N 110н &quot;Об утверждении профессионального стандарта &quot;Градостроитель&quot; (Зарегистрировано в Минюсте России 04.04.2016 N 4164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"Градостроитель", утвержденный приказом Министерства труда и социальной защиты Российской Федерации от 17 марта 2016 г. N 110н (зарегистрирован Министерством юстиции Российской Федерации 4 апреля 2016 г., регистрационный N 41647)</w:t>
            </w:r>
          </w:p>
        </w:tc>
      </w:tr>
      <w:tr>
        <w:tc>
          <w:tcPr>
            <w:gridSpan w:val="3"/>
            <w:tcW w:w="902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16 Строительство и жилищно-коммунальное хозяйство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16.038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9" w:tooltip="Приказ Минтруда России от 26.12.2014 N 1182н (ред. от 23.12.2016) &quot;Об утверждении профессионального стандарта &quot;Руководитель строительной организации&quot; (Зарегистрировано в Минюсте России 27.01.2015 N 3573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16.066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0" w:tooltip="Приказ Минтруда России от 21.12.2015 N 1085н &quot;Об утверждении профессионального стандарта &quot;Инженер-проектировщик насосных станций систем водоснабжения и водоотведения&quot; (Зарегистрировано в Минюсте России 25.01.2016 N 4075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16.067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1" w:tooltip="Приказ Минтруда России от 10.09.2019 N 610н &quot;Об утверждении профессионального стандарта &quot;Специалист в области проектирования сооружений очистки сточных вод&quot; (Зарегистрировано в Минюсте России 04.10.2019 N 5613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в области проектирования сооружений очистки сточных вод", утвержденный приказом 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16.112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2" w:tooltip="Приказ Минтруда России от 01.03.2017 N 216н &quot;Об утверждении профессионального стандарта &quot;Специалист в области энергоменеджмента в строительной сфере&quot; (Зарегистрировано в Минюсте России 21.03.2017 N 46068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в области энергоменеджмента в строительной сфере", утвержденный приказом Министерства труда и социальной защиты Российской Федерации от 1 марта 2017 г. N 216н (зарегистрирован Министерством юстиции Российской Федерации 21 марта 2017 г., регистрационный N 46068)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16.127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3" w:tooltip="Приказ Минтруда России от 13.03.2017 N 273н &quot;Об утверждении профессионального стандарта &quot;Специалист по проектированию подземных инженерных коммуникаций с применением бестраншейных технологий&quot; (Зарегистрировано в Минюсте России 03.04.2017 N 4622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3 апреля 2017 г., регистрационный N 46221)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16.131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4" w:tooltip="Приказ Минтруда России от 13.04.2017 N 355н &quot;Об утверждении профессионального стандарта &quot;Специалист в области проектирования оснований, фундаментов, земляных и противооползневых сооружений, подземной части объектов капитального строительства&quot; (Зарегистрировано в Минюсте России 04.05.2017 N 4659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в области проектирования оснований, фундаментов, земляных и противооползневых сооружений, подземной части объектов капитального строительства", утвержденный приказом Министерства труда и социальной защиты Российской Федерации от 13 апреля 2017 г. N 355н (зарегистрирован Министерством юстиции Российской Федерации 4 мая 2017 г., регистрационный N 46590)</w:t>
            </w:r>
          </w:p>
        </w:tc>
      </w:tr>
      <w:tr>
        <w:tc>
          <w:tcPr>
            <w:gridSpan w:val="3"/>
            <w:tcW w:w="902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40 Сквозные виды профессиональной деятельности в промышленности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40.033.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5" w:tooltip="Приказ Минтруда России от 08.09.2014 N 609н (ред. от 12.12.2016) &quot;Об утверждении профессионального стандарта &quot;Специалист по стратегическому и тактическому планированию и организации производства&quot; (Зарегистрировано в Минюсте России 30.09.2014 N 3419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40.178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6" w:tooltip="Приказ Минтруда России от 13.03.2017 N 272н &quot;Об утверждении профессионального стандарта &quot;Специалист в области проектирования автоматизированных систем управления технологическими процессами&quot; (Зарегистрировано в Минюсте России 04.04.2017 N 4624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в области проектирования автоматизированных систем управления технологическими процессами", утвержденный приказом Министерства труда и социальной защиты Российской Федерации от 13 марта 2017 г. N 272н (зарегистрирован Министерством юстиции Российской Федерации 4 апреля 2017 г., регистрационный N 46243)</w:t>
            </w:r>
          </w:p>
        </w:tc>
      </w:tr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40.180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7" w:tooltip="Приказ Минтруда России от 13.04.2017 N 354н &quot;Об утверждении профессионального стандарта &quot;Специалист в области проектирования систем электропривода&quot; (Зарегистрировано в Минюсте России 05.05.2017 N 4662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в области проектирования систем электропривода", утвержденный приказом Министерства труда и социальной защиты Российской Федерации от 13 апреля 2017 г. N 354н (зарегистрирован Министерством юстиции Российской Федерации 5 мая 2017 г., регистрационный N 46626)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12.08.2020 N 987</w:t>
            <w:br/>
            <w:t>(ред. от 27.02.2023)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85079&amp;dst=105193" TargetMode = "External"/>
	<Relationship Id="rId8" Type="http://schemas.openxmlformats.org/officeDocument/2006/relationships/hyperlink" Target="https://login.consultant.ru/link/?req=doc&amp;base=LAW&amp;n=428382&amp;dst=101140" TargetMode = "External"/>
	<Relationship Id="rId9" Type="http://schemas.openxmlformats.org/officeDocument/2006/relationships/hyperlink" Target="https://login.consultant.ru/link/?req=doc&amp;base=LAW&amp;n=443783&amp;dst=102536" TargetMode = "External"/>
	<Relationship Id="rId10" Type="http://schemas.openxmlformats.org/officeDocument/2006/relationships/hyperlink" Target="https://login.consultant.ru/link/?req=doc&amp;base=LAW&amp;n=458790&amp;dst=100059" TargetMode = "External"/>
	<Relationship Id="rId11" Type="http://schemas.openxmlformats.org/officeDocument/2006/relationships/hyperlink" Target="https://login.consultant.ru/link/?req=doc&amp;base=LAW&amp;n=399342&amp;dst=100072" TargetMode = "External"/>
	<Relationship Id="rId12" Type="http://schemas.openxmlformats.org/officeDocument/2006/relationships/hyperlink" Target="https://login.consultant.ru/link/?req=doc&amp;base=LAW&amp;n=206990&amp;dst=100013" TargetMode = "External"/>
	<Relationship Id="rId13" Type="http://schemas.openxmlformats.org/officeDocument/2006/relationships/hyperlink" Target="https://login.consultant.ru/link/?req=doc&amp;base=LAW&amp;n=385079&amp;dst=105193" TargetMode = "External"/>
	<Relationship Id="rId14" Type="http://schemas.openxmlformats.org/officeDocument/2006/relationships/hyperlink" Target="https://login.consultant.ru/link/?req=doc&amp;base=LAW&amp;n=428382&amp;dst=101140" TargetMode = "External"/>
	<Relationship Id="rId15" Type="http://schemas.openxmlformats.org/officeDocument/2006/relationships/hyperlink" Target="https://login.consultant.ru/link/?req=doc&amp;base=LAW&amp;n=443783&amp;dst=102536" TargetMode = "External"/>
	<Relationship Id="rId16" Type="http://schemas.openxmlformats.org/officeDocument/2006/relationships/hyperlink" Target="https://login.consultant.ru/link/?req=doc&amp;base=LAW&amp;n=437409&amp;dst=217" TargetMode = "External"/>
	<Relationship Id="rId17" Type="http://schemas.openxmlformats.org/officeDocument/2006/relationships/hyperlink" Target="https://login.consultant.ru/link/?req=doc&amp;base=LAW&amp;n=437409&amp;dst=100249" TargetMode = "External"/>
	<Relationship Id="rId18" Type="http://schemas.openxmlformats.org/officeDocument/2006/relationships/hyperlink" Target="https://login.consultant.ru/link/?req=doc&amp;base=LAW&amp;n=214720&amp;dst=100047" TargetMode = "External"/>
	<Relationship Id="rId19" Type="http://schemas.openxmlformats.org/officeDocument/2006/relationships/hyperlink" Target="https://login.consultant.ru/link/?req=doc&amp;base=LAW&amp;n=214720&amp;dst=100050" TargetMode = "External"/>
	<Relationship Id="rId20" Type="http://schemas.openxmlformats.org/officeDocument/2006/relationships/hyperlink" Target="https://login.consultant.ru/link/?req=doc&amp;base=LAW&amp;n=214720&amp;dst=100064" TargetMode = "External"/>
	<Relationship Id="rId21" Type="http://schemas.openxmlformats.org/officeDocument/2006/relationships/hyperlink" Target="https://login.consultant.ru/link/?req=doc&amp;base=LAW&amp;n=214720&amp;dst=100068" TargetMode = "External"/>
	<Relationship Id="rId22" Type="http://schemas.openxmlformats.org/officeDocument/2006/relationships/hyperlink" Target="https://login.consultant.ru/link/?req=doc&amp;base=LAW&amp;n=214720&amp;dst=100080" TargetMode = "External"/>
	<Relationship Id="rId23" Type="http://schemas.openxmlformats.org/officeDocument/2006/relationships/hyperlink" Target="https://login.consultant.ru/link/?req=doc&amp;base=LAW&amp;n=214720&amp;dst=100084" TargetMode = "External"/>
	<Relationship Id="rId24" Type="http://schemas.openxmlformats.org/officeDocument/2006/relationships/hyperlink" Target="https://login.consultant.ru/link/?req=doc&amp;base=LAW&amp;n=214720&amp;dst=100088" TargetMode = "External"/>
	<Relationship Id="rId25" Type="http://schemas.openxmlformats.org/officeDocument/2006/relationships/hyperlink" Target="https://login.consultant.ru/link/?req=doc&amp;base=LAW&amp;n=214720&amp;dst=100104" TargetMode = "External"/>
	<Relationship Id="rId26" Type="http://schemas.openxmlformats.org/officeDocument/2006/relationships/hyperlink" Target="https://login.consultant.ru/link/?req=doc&amp;base=LAW&amp;n=214720&amp;dst=100116" TargetMode = "External"/>
	<Relationship Id="rId27" Type="http://schemas.openxmlformats.org/officeDocument/2006/relationships/hyperlink" Target="https://login.consultant.ru/link/?req=doc&amp;base=LAW&amp;n=428382&amp;dst=101140" TargetMode = "External"/>
	<Relationship Id="rId28" Type="http://schemas.openxmlformats.org/officeDocument/2006/relationships/hyperlink" Target="https://login.consultant.ru/link/?req=doc&amp;base=LAW&amp;n=443783&amp;dst=102536" TargetMode = "External"/>
	<Relationship Id="rId29" Type="http://schemas.openxmlformats.org/officeDocument/2006/relationships/hyperlink" Target="https://login.consultant.ru/link/?req=doc&amp;base=LAW&amp;n=385079&amp;dst=105193" TargetMode = "External"/>
	<Relationship Id="rId30" Type="http://schemas.openxmlformats.org/officeDocument/2006/relationships/hyperlink" Target="https://login.consultant.ru/link/?req=doc&amp;base=LAW&amp;n=214720&amp;dst=100006" TargetMode = "External"/>
	<Relationship Id="rId31" Type="http://schemas.openxmlformats.org/officeDocument/2006/relationships/hyperlink" Target="https://login.consultant.ru/link/?req=doc&amp;base=LAW&amp;n=146970" TargetMode = "External"/>
	<Relationship Id="rId32" Type="http://schemas.openxmlformats.org/officeDocument/2006/relationships/hyperlink" Target="https://login.consultant.ru/link/?req=doc&amp;base=LAW&amp;n=453479" TargetMode = "External"/>
	<Relationship Id="rId33" Type="http://schemas.openxmlformats.org/officeDocument/2006/relationships/hyperlink" Target="https://login.consultant.ru/link/?req=doc&amp;base=LAW&amp;n=439201" TargetMode = "External"/>
	<Relationship Id="rId34" Type="http://schemas.openxmlformats.org/officeDocument/2006/relationships/hyperlink" Target="https://login.consultant.ru/link/?req=doc&amp;base=LAW&amp;n=447397&amp;dst=100947" TargetMode = "External"/>
	<Relationship Id="rId35" Type="http://schemas.openxmlformats.org/officeDocument/2006/relationships/hyperlink" Target="https://login.consultant.ru/link/?req=doc&amp;base=LAW&amp;n=316436&amp;dst=100010" TargetMode = "External"/>
	<Relationship Id="rId36" Type="http://schemas.openxmlformats.org/officeDocument/2006/relationships/hyperlink" Target="https://login.consultant.ru/link/?req=doc&amp;base=LAW&amp;n=207827&amp;dst=100009" TargetMode = "External"/>
	<Relationship Id="rId37" Type="http://schemas.openxmlformats.org/officeDocument/2006/relationships/hyperlink" Target="https://login.consultant.ru/link/?req=doc&amp;base=LAW&amp;n=200024&amp;dst=100009" TargetMode = "External"/>
	<Relationship Id="rId38" Type="http://schemas.openxmlformats.org/officeDocument/2006/relationships/hyperlink" Target="https://login.consultant.ru/link/?req=doc&amp;base=LAW&amp;n=196498&amp;dst=100009" TargetMode = "External"/>
	<Relationship Id="rId39" Type="http://schemas.openxmlformats.org/officeDocument/2006/relationships/hyperlink" Target="https://login.consultant.ru/link/?req=doc&amp;base=LAW&amp;n=211261&amp;dst=100009" TargetMode = "External"/>
	<Relationship Id="rId40" Type="http://schemas.openxmlformats.org/officeDocument/2006/relationships/hyperlink" Target="https://login.consultant.ru/link/?req=doc&amp;base=LAW&amp;n=193402&amp;dst=100009" TargetMode = "External"/>
	<Relationship Id="rId41" Type="http://schemas.openxmlformats.org/officeDocument/2006/relationships/hyperlink" Target="https://login.consultant.ru/link/?req=doc&amp;base=LAW&amp;n=334889&amp;dst=100010" TargetMode = "External"/>
	<Relationship Id="rId42" Type="http://schemas.openxmlformats.org/officeDocument/2006/relationships/hyperlink" Target="https://login.consultant.ru/link/?req=doc&amp;base=LAW&amp;n=214336&amp;dst=100009" TargetMode = "External"/>
	<Relationship Id="rId43" Type="http://schemas.openxmlformats.org/officeDocument/2006/relationships/hyperlink" Target="https://login.consultant.ru/link/?req=doc&amp;base=LAW&amp;n=214974&amp;dst=100009" TargetMode = "External"/>
	<Relationship Id="rId44" Type="http://schemas.openxmlformats.org/officeDocument/2006/relationships/hyperlink" Target="https://login.consultant.ru/link/?req=doc&amp;base=LAW&amp;n=216438&amp;dst=100009" TargetMode = "External"/>
	<Relationship Id="rId45" Type="http://schemas.openxmlformats.org/officeDocument/2006/relationships/hyperlink" Target="https://login.consultant.ru/link/?req=doc&amp;base=LAW&amp;n=211661&amp;dst=100010" TargetMode = "External"/>
	<Relationship Id="rId46" Type="http://schemas.openxmlformats.org/officeDocument/2006/relationships/hyperlink" Target="https://login.consultant.ru/link/?req=doc&amp;base=LAW&amp;n=215328&amp;dst=100009" TargetMode = "External"/>
	<Relationship Id="rId47" Type="http://schemas.openxmlformats.org/officeDocument/2006/relationships/hyperlink" Target="https://login.consultant.ru/link/?req=doc&amp;base=LAW&amp;n=216545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12.08.2020 N 987
(ред. от 27.02.2023)
"Об утверждении федерального государственного образовательного стандарта высшего образования - специалитет по специальности 21.05.04 Горное дело"
(Зарегистрировано в Минюсте России 26.08.2020 N 59490)</dc:title>
  <dcterms:created xsi:type="dcterms:W3CDTF">2023-11-08T05:39:14Z</dcterms:created>
</cp:coreProperties>
</file>